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443 vom 24. November 2022</w:t>
      </w:r>
    </w:p>
    <w:p>
      <w:r>
        <w:t>VD Tribunal cantonal, 2022-11-24, FR</w:t>
      </w:r>
    </w:p>
    <w:p>
      <w:r>
        <w:rPr>
          <w:b/>
        </w:rPr>
        <w:t xml:space="preserve">Quelle: </w:t>
      </w:r>
      <w:r>
        <w:t>https://mcp.opencaselaw.ch/entscheid/vd_findinfo_Jug___2022___443</w:t>
      </w:r>
    </w:p>
    <w:p>
      <w:r>
        <w:t>FR: VD_FINDINFO Jug / 2022 / 443 du 24 novembre 2022</w:t>
      </w:r>
    </w:p>
    <w:p>
      <w:r>
        <w:t>IT: VD_FINDINFO Jug / 2022 / 443 del 24 novembre 2022</w:t>
      </w:r>
    </w:p>
    <w:p>
      <w:pPr>
        <w:pStyle w:val="Heading2"/>
      </w:pPr>
      <w:r>
        <w:t>Regeste</w:t>
      </w:r>
    </w:p>
    <w:p>
      <w:r>
        <w:t>BLANCHIMENT D'ARGENT, LOI FÉDÉRALE SUR LES STUPÉFIANTS ET LES SUBSTANCES PSYCHOTROPES | 305bis ch. 1 CP, 19 al. 1 LStup, 115 al. 1 let. b LEI</w:t>
      </w:r>
    </w:p>
    <w:p>
      <w:pPr>
        <w:pStyle w:val="Heading2"/>
      </w:pPr>
      <w:r>
        <w:t>Erwägungen</w:t>
      </w:r>
    </w:p>
    <w:p>
      <w:r>
        <w:rPr>
          <w:b/>
        </w:rPr>
        <w:t>E. 1</w:t>
      </w:r>
    </w:p>
    <w:p>
      <w:r>
        <w:t>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V.________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w:t>
      </w:r>
    </w:p>
    <w:p>
      <w:r>
        <w:rPr>
          <w:b/>
        </w:rPr>
        <w:t>E. 3</w:t>
      </w:r>
    </w:p>
    <w:p>
      <w:r>
        <w:t>L’appelant a requis qu'il soit demandé à l'autorité douanière espagnole à l'aéroport de [...] de fournir des informations par rapport à son départ en date du 6 décembre 2020 depuis l'aéroport de [...] et à son retour sur sol espagnol le 5 mars 2021 également à l'aéroport de [...].</w:t>
      </w:r>
    </w:p>
    <w:p>
      <w:r>
        <w:rPr>
          <w:b/>
        </w:rPr>
        <w:t>E. 3.1</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En effet, l'immédiateté des preuves ne s'impose pas en instance d'appel (TF 6B_481/2020, déjà cité, consid. 1.2).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6B_78/2020 du 1er avril 2020 consid. 1.1 ; TF 6B_178/2020 du 20 mars 2020 consid. 1.1). Le magistrat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(cf. ATF 144 II 427 consid. 3.1.3 ; ATF 141 I 60 consid. 3.3, JdT 2015 I 115 ; TF 6B_197/2020 du 7 mai 2020 consid. 1.1).</w:t>
      </w:r>
    </w:p>
    <w:p>
      <w:r>
        <w:rPr>
          <w:b/>
        </w:rPr>
        <w:t>E. 3.2</w:t>
      </w:r>
    </w:p>
    <w:p>
      <w:r>
        <w:t>En l’espèce, compte tenu des éléments exposés ci-dessous (cf. consid. 4.2 et</w:t>
      </w:r>
    </w:p>
    <w:p>
      <w:r>
        <w:rPr>
          <w:b/>
        </w:rPr>
        <w:t>E. 5</w:t>
      </w:r>
    </w:p>
    <w:p>
      <w:r>
        <w:t>L’appelant conteste sa condamnation pour violation à la LEI, au motif qu'il n'était pas en Suisse entre le 6 décembre 2020 et le 5 mars 2021, produisant un extrait de son passeport contenant deux tampons du Nigeria, le premier daté du 6 décembre 2020 et le second du 5 mars 2021. Comme déjà dit ci-dessus (cf. consid. 4.2.1 supra), on ne peut accorder aucun crédit aux déclarations de l'appelant, qui sont contredites par plusieurs éléments du dossier. De plus, s'agissant plus particulièrement de l'infraction à la LEI, celle-ci est de toute manière réalisée entre février 2019 et décembre 2020, puis entre mars et juillet 2021, périodes durant lesquelles l’appelant ne conteste pas avoir séjourné en Suisse sans autorisation. L’appel, mal fondé, doit être rejeté sur ce point également.</w:t>
      </w:r>
    </w:p>
    <w:p>
      <w:r>
        <w:rPr>
          <w:b/>
        </w:rPr>
        <w:t>E. 6</w:t>
      </w:r>
    </w:p>
    <w:p>
      <w:r>
        <w:t>L’appelant conteste sa condamnation pour blanchiment pour les faits décrits au cas 3 de l’acte d’accusation (cf. ch. 2.3 supra). Se référant à la pièce n° 31/1, il relève que U.________ envoyait de l'argent partout dans le monde et à plusieurs personnes et que les transferts en question ne peuvent tous lui être imputés.</w:t>
      </w:r>
    </w:p>
    <w:p>
      <w:r>
        <w:rPr>
          <w:b/>
        </w:rPr>
        <w:t>E. 6.1</w:t>
      </w:r>
    </w:p>
    <w:p>
      <w:r>
        <w:t>Aux termes de l'art. 305bis ch. 1 CP (Code pénal suisse du 21 décembre 1937 ; RS 311.0),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L'acte d'entrave doit être examiné de cas en cas, en fonction de l'ensemble des circonstances. Il doit être propre à entraver l'accès des autorités de poursuite pénales aux valeurs patrimoniales provenant d’un crime, dans les circonstances concrètes. Il n'est pas nécessaire que l’intéressé l’ait effectivement entravé, le blanchiment d'argent étant une infraction de mise en danger abstraite, punissable indépendamment de la survenance d'un résultat (ATF 136 IV 188 consid. 6.1 ; ATF 128 IV 117 consid. 7a ; Cassani, Commentaire du droit pénal suisse, Partie spéciale, vol. 9, 1996, art. 305bis CP, n° 31). Le simple versement d'argent sur un compte bancaire personnel, ouvert au lieu du domicile de l'auteur de l'infraction qualifiée et servant aux paiements privés habituels, ne constitue pas un acte d'entrave au sens de l'art. 305bis ch. 1 CP (ATF 124 IV 274 consid. 4a). Tombe en revanche sous le coup de cette disposition le placement d'argent provenant d'un crime chaque fois que le mode ou la manière d'opérer ne peut être assimilé au simple versement d'argent liquide sur un compte (ATF 119 IV 242 consid. 1d ; Pieth, in Basler Kommentar, Strafrecht, vol. Il, 3 e éd. 2013, n° 47 ad art. 305bis CP).</w:t>
      </w:r>
    </w:p>
    <w:p>
      <w:r>
        <w:rPr>
          <w:b/>
        </w:rPr>
        <w:t>E. 6.2</w:t>
      </w:r>
    </w:p>
    <w:p>
      <w:r>
        <w:t>II résulte des éléments du dossier que l’appelant n’a aucune source de revenu licite en Suisse. Par ailleurs, et nonobstant ses dénégations, l'appelant se fait construire une maison au [...]. En effet, un dénommé [...] lui a envoyé des photos du chantier et lui a présenté l'avancée des travaux, avant de lui donner ses coordonnées bancaires. Des extraits de messages démontrent également qu'un dénommé [...] œuvre pour le compte de l'appelant dans son projet immobilier. Compte tenu de l'existence de cette maison, il est évident que l'intéressé a envoyé ou fait envoyer un montant indéterminé au [...] pour en dissimuler l'origine et pour financer ce projet immobilier. On ne peut certes imputer à l’appelant l'intégralité des montants envoyés par U.________ ; on doit cependant admettre que certains versements d'un montant indéterminé lui étaient destinés, plus particulièrement à des tiers pour la construction de son bien immobilier. Il est également établi que l’appelant a fait envoyer un montant de 485 fr. à son épouse en Italie. La condamnation de l’appelant pour violation de l'art. 305bis CP doit par conséquent être confirmée et l’appel rejeté sur ce point également.</w:t>
      </w:r>
    </w:p>
    <w:p>
      <w:r>
        <w:rPr>
          <w:b/>
        </w:rPr>
        <w:t>E. 7</w:t>
      </w:r>
    </w:p>
    <w:p>
      <w:r>
        <w:t>Fondé sur la prémisse de son acquittement s’agissant d’une grande partie des ventes de stupéfiants qui lui ont été imputées au cas 1 de l’acte d’accusation (cf. ch. 2.1 supra), l’appelant considère que la peine infligée par les premiers juges est trop sévère et a été fixée en violation de l'art. 47 CP.</w:t>
      </w:r>
    </w:p>
    <w:p>
      <w:r>
        <w:rPr>
          <w:b/>
        </w:rPr>
        <w:t>E. 7.1.1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1169 ; ATF 141 IV 61 consid. 6.1.1 et les références citées ; TF 6B_631/2021 du 7 février 2022 consid. 1.1).</w:t>
      </w:r>
    </w:p>
    <w:p>
      <w:r>
        <w:rPr>
          <w:b/>
        </w:rPr>
        <w:t>E. 7.1.2</w:t>
      </w:r>
    </w:p>
    <w:p>
      <w:r>
        <w:t>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Le type de drogue et sa pureté doivent aussi être pris en considération (ATF 121 IV 193 consid. 2b/aa ; TF 6B_101/2021 du 22 décembre 2021 consid. 3.2). S'agissant de la méthamphétamine, il n'est pas contraire au droit fédéral de se référer à l'étude réalisée en 2010 par la Société suisse de médecine légale, qui recommande de fixer ce seuil à 12 g de substance pure (ATF 145 IV 312 consid. 2.2 à 2.4). Pour déterminer si le seuil est atteint, il faut déterminer la quantité de drogue pure sur laquelle a porté l'infraction, qui est seule décisive. Si l'examen est impossible, dès lors que la drogue n'a pas pu être saisie, le juge peut admettre sans arbitraire, en l'absence d'autres éléments, que la drogue était d'une qualité moyenne et se référer au degré de pureté habituel sur le marché à l'époque et au lieu en question (ATF 145 IV 312 consid. 2.1.1 et les références citées).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Le nombre d'opérations constitue un indice pour mesurer l’intensité du comportement délictueux. S'agissant d'apprécier les mobiles qui ont poussé l’auteur a agir, le juge doit distinguer le cas de celui qui est lui-même toxicomane et agit pour financer sa propre consommation de celui qui participe à un trafic uniquement poussé par l’appât du gain (TF 6B_101/2021 du 22 décembre 2021 consid. 3.2 ; TF 6B_227/2020 consid. 2.1 et les références citées).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a ce défaut, seraient restés obscurs (ATF 121 IV 202 consid. 2d/aa ; ATF 118 IV 342 consid. 2d ; TF 6B_965/2018 du 15 novembre 2018 consid. 3.3).</w:t>
      </w:r>
    </w:p>
    <w:p>
      <w:r>
        <w:rPr>
          <w:b/>
        </w:rPr>
        <w:t>E. 7.1.3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précité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En matière de trafic de stupéfiants, la jurisprudence a admis que les différents actes (acquisition, revente, distribution) n'entrent pas en concours entre eux, mais doivent être considérés comme une seule infraction; en contrepartie, l'abondance des actes est prise en considération au stade de la fixation de la peine, les quantités de drogue en cause étant notamment additionnées pour dire si l'on se trouve en présence d'une infraction qui peut directement ou indirectement mettre en danger la vie de nombreuses personnes (ATF 110 IV 100 consid. 3).</w:t>
      </w:r>
    </w:p>
    <w:p>
      <w:r>
        <w:rPr>
          <w:b/>
        </w:rPr>
        <w:t>E. 7.2</w:t>
      </w:r>
    </w:p>
    <w:p>
      <w:r>
        <w:t>En l’espèce, la condamnation de l’appelant pour toutes les transactions retenues à sa charge dans l’acte d’accusation est confirmée (cf. consid. 3.2 supra). L’appelant s’est ainsi adonné – entre 2013 et juin 2021 – à un trafic de stupéfiants de grande ampleur, portant sur une quantité totale pure comprise entre 385.5 et 591.38 grammes de cocaïne. Comme les premiers juges, on retiendra que sa culpabilité est lourde, les quantités de stupéfiants vendues dépassant largement le seuil du cas grave qui justifie à lui seul une peine privative de liberté de 1 an. Son activité criminelle a duré à tout le moins 8 ans et n’a cessé qu’ensuite de son arrestation. Il a agi par appât du gain alors même qu’il disposait d’un permis de séjour en Espagne et qu’il lui était dès lors loisible d’obtenir un revenu par le biais de son travail dans ce pays. Il n’a pas fait preuve de la moindre collaboration et ce même lorsque les éléments pertinents de l’enquête lui ont été présentés et n’a pas démontré de réelle prise de conscience malgré la détention subie, les regrets exprimés aux débats d’appel paraissant plus de façade que sincères. A décharge, on retiendra que l’appelant n’a pas reçu d’éducation et que son parcours de vie semble avoir été difficile, bien qu’il ait toutefois un permis de séjour en Espagne où il peut travailler et gagner sa vie honnêtement. Les infractions sont en concours. L’infraction la plus grave, soit le trafic de stupéfiants doit être sanctionnée par une peine privative de liberté de 36 mois. Par l’effet du concours, on augmentera cette peine de 10 mois pour sanctionner le blanchiment d’argent (cf. ch. 2.3 supra) et de 2 mois pour le séjour illégal (cf. ch. 2.2 supra), ce qui donne un total de 48 mois. Cette peine est partiellement complémentaire avec celles déjà prononcées par le Ministère public de l’arrondissement de Lausanne les 25 septembre 2015 (peine privative de liberté de 20 jours), 4 juillet 2017 (peine privative de liberté de 180 jours) et 6 mai 2019 (peine privative de liberté de 135 jours). La peine arrêtée par les premiers juges doit par conséquent être confirmée.</w:t>
      </w:r>
    </w:p>
    <w:p>
      <w:r>
        <w:rPr>
          <w:b/>
        </w:rPr>
        <w:t>E. 8</w:t>
      </w:r>
    </w:p>
    <w:p>
      <w:r>
        <w:t>Invoquant une violation de l'art. 66a al. 1 CP, l’appelant soutient que la durée de son expulsion ainsi que l'inscription au SIS sont excessives dans la mesure où il est marié avec une ressortissante européenne.</w:t>
      </w:r>
    </w:p>
    <w:p>
      <w:r>
        <w:rPr>
          <w:b/>
        </w:rPr>
        <w:t>E. 8.1.1</w:t>
      </w:r>
    </w:p>
    <w:p>
      <w:r>
        <w:t>Aux termes de l'art. 66a al. 1 let. a CP, le juge expulse de Suisse l'étranger qui est condamné notamment pour infraction grave à la loi fédérale sur les stupéfiants (let. o), quelle que soit la quotité de la peine prononcée à son encontre, pour une durée de cinq à quinze ans. Le juge doit fixer la durée de l'expulsion dans la fourchette prévue de cinq à quinze ans, en tenant compte du principe de la proportionnalité (TF 6B_1043/2017 du 14 août 2018 consid. 3.1.3 et la référence citée).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(TF 6B_183/2020 du 28 octobre 2020 consid. 4.1). La durée de l'expulsion n'a pas à être symétrique à la durée de la peine prononcée (TF 6B 549/2019 du 29 mai 2019 consid. 2.3; TF 6B 242/2019 du 18 mars 2019 consid. 1.3).</w:t>
      </w:r>
    </w:p>
    <w:p>
      <w:r>
        <w:rPr>
          <w:b/>
        </w:rPr>
        <w:t>E. 8.1.2</w:t>
      </w:r>
    </w:p>
    <w:p>
      <w:r>
        <w:t>Selon l’art. 20 de l’Ordonnance sur la partie nationale du Système d’information Schengen (N-SIS) et sur le bureau SIRENE du 8 mars 2013 (RS 362.0),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L’inscription d’un ressortissant d’un Etat tiers dans le Système d’information Schengen s’examine à l’aune des art. 20 ss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1987/2006. Ce règlement, appliqué provisoirement par la Suisse dès le 28 décembre 2019, est entré en vigueur le 11 mai 2021 (RS 0.362.380.085). Aux termes de l’art. 24 al. 1 let. a du règlement (UE) 2018/1861, les Etats membres introduisent un signalement aux fins de non-admission et d'interdiction de séjour lorsqu’un Etat membre a conclu,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l’Etat membre a, par conséquent, adopté une décision judiciaire ou administrative de non-admission et d’interdiction de séjour conformément à son droit national et émis un signalement national aux fins de non-admission et d’interdiction de séjour. Selon l’art. 24 al. 2 de ce règlement, ces situations se produisent lorsqu’un ressortissant de pays tiers a été condamné dans un Etat membre pour une infraction passible d’une peine privative de liberté d’au moins un an (a), lorsqu’il existe des raisons sérieuses de croire qu'un ressortissant de pays tiers a commis une infraction pénale grave, y compris une infraction terroriste, ou qu’il existe des indications claires de son intention de commettre une telle infraction sur le territoire d'un État membre (b), ou lorsqu’un ressortissant de pays tiers a contourné ou tenté de contourner le droit national ou de l’Union relatif à l’entrée et au séjour sur le territoire des Etats membres (c). L’inscription ne peut être ordonnée, conformément au principe de proportionnalité consacré à l'art. 21 du règlement (UE) 2018/1861, que si l'opportunité, la pertinence et l'importance de l'affaire le justifient. Un signalement dans le SIS ne peut être effectué que sur la base d’une évaluation individuelle, en tenant compte du principe de proportionnalité. Dans le cadre de cette évaluation, il doit notamment être examiné si la personne concernée représente une menace pour la sécurité et l’ordre publics. Un signalement dans le SIS est toujours proportionné si un tel danger pour la sécurité et l’ordre publics existe. Si les exigences posées aux art. 21 et 24 al. 1 et 2 du règlement sont remplies, il existe une obligation d’inscription dans le Registre SIS (ATF 146 IV 172 consid. 3.2.2, JdT 2020 IV 312 concernant l’ancien règlement (CE) 1987/2006 du Parlement européen et du Conseil du 20 décembre 2006 relatif à l'établissement, le fonctionnement et l'utilisation du système d'information Schengen de deuxième génération).</w:t>
      </w:r>
    </w:p>
    <w:p>
      <w:r>
        <w:rPr>
          <w:b/>
        </w:rPr>
        <w:t>E. 8.2</w:t>
      </w:r>
    </w:p>
    <w:p>
      <w:r>
        <w:t>En l’espèce, les premiers juges ont fixé la durée de l'expulsion à 8 ans, ce qui n'est pas excessif. En effet, il convient de tenir compte de la gravité des infractions, de la très longue période d’activité et du risque de récidive que présente l'appelant dans le même genre d'activités. Par ailleurs, ce dernier n’a aucun lien avec la Suisse, où il semble n’être venu que pour s’adonner à son trafic alors même qu’il aurait pu choisir de travailler de manière licite en Espagne. L'inscription au SIS est adéquate, compte tenu du fait que l’appelant représente une menace pour la sécurité et l’ordre publics. Par ailleurs, l’appelant est malvenu d'invoquer son mariage, dès lors que la prison lui accorde, avec l'accord de la Cour de céans, des rencontres privées avec une autre femme (cf. P. 65).</w:t>
      </w:r>
    </w:p>
    <w:p>
      <w:r>
        <w:rPr>
          <w:b/>
        </w:rPr>
        <w:t>E. 9</w:t>
      </w:r>
    </w:p>
    <w:p>
      <w:r>
        <w:t>Conformément à l’art. 51 CP, la détention subie depuis le jugement de première instance sera déduite de la peine privative de liberté prononcée. Pour garantir l’exécution de la peine et de l’expulsion et au vu notamment des risques de fuite et de réitération présentés par l’intéressé, le maintien de l’appelant en détention pour des motifs de sûreté doit être ordonné.</w:t>
      </w:r>
    </w:p>
    <w:p>
      <w:r>
        <w:rPr>
          <w:b/>
        </w:rPr>
        <w:t>E. 10</w:t>
      </w:r>
    </w:p>
    <w:p>
      <w:r>
        <w:t>En définitive, l’appel doit être intégralement rejeté et le jugement entrepris confirmé. Me Zoubair Toumia, défenseur d’office, a produit une liste d’opérations dans laquelle il indique une activité de 8h10 d’avocat breveté, ce qui peut être admis. Au tarif horaire de 180 fr., c’est ainsi une indemnité d’office de 1'740 fr., TVA et débours inclus, qui lui sera allouée pour la procédure d’appel. Vu l’issue de la cause, les frais de la procédure d’appel, par 4’230 fr., constitués de l’émoluments de jugement et d’audience, par 2’490 fr. (art. 21 al. 1 TFIP [tarif des frais de procédure et indemnités en matière pénale du 28 septembre 2010 ; BLV 312.03.1]), et de l’indemnité due au défenseur d’office, par 1'740 fr., seront mis à la charge de V.________ (art. 428 al. 1 CPP). V.________ sera tenu de rembourser à l’Etat le montant de l’indemnité en faveur de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