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439 vom 16. November 2021</w:t>
      </w:r>
    </w:p>
    <w:p>
      <w:r>
        <w:t>VD Tribunal cantonal, 2021-11-16, FR</w:t>
      </w:r>
    </w:p>
    <w:p>
      <w:r>
        <w:rPr>
          <w:b/>
        </w:rPr>
        <w:t xml:space="preserve">Quelle: </w:t>
      </w:r>
      <w:r>
        <w:t>https://mcp.opencaselaw.ch/entscheid/vd_findinfo_Jug___2022___439</w:t>
      </w:r>
    </w:p>
    <w:p>
      <w:r>
        <w:t>FR: VD_FINDINFO Jug / 2022 / 439 du 16 novembre 2021</w:t>
      </w:r>
    </w:p>
    <w:p>
      <w:r>
        <w:t>IT: VD_FINDINFO Jug / 2022 / 439 del 16 novembre 2021</w:t>
      </w:r>
    </w:p>
    <w:p>
      <w:pPr>
        <w:pStyle w:val="Heading2"/>
      </w:pPr>
      <w:r>
        <w:t>Regeste</w:t>
      </w:r>
    </w:p>
    <w:p>
      <w:r>
        <w:t>EXCÈS DE VITESSE, LOI FÉDÉRALE SUR LA CIRCULATION ROUTIÈRE, PEINE PRIVATIVE DE LIBERTÉ | 41 al. 1 CP, 42 al. 1 CP, 47 CP, 90 al. 2 LCR</w:t>
      </w:r>
    </w:p>
    <w:p>
      <w:pPr>
        <w:pStyle w:val="Heading2"/>
      </w:pPr>
      <w:r>
        <w:t>Erwägungen</w:t>
      </w:r>
    </w:p>
    <w:p>
      <w:r>
        <w:rPr>
          <w:b/>
        </w:rPr>
        <w:t>E. 1.1</w:t>
      </w:r>
    </w:p>
    <w:p>
      <w:r>
        <w:t>Interjeté dans les formes et délais légaux (art. 385 et 399 CPP), par une partie ayant qualité pour recourir contre le jugement d’un tribunal de première instance qui a clos la procédure (art. 398 al. 1 CPP), l’appel de Z.________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2.1</w:t>
      </w:r>
    </w:p>
    <w:p>
      <w:r>
        <w:t>;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p. 64 ; TF 6B_870/2020 du 3 septembre 2020 consid. 1.1 ; TF 6B_812/2020 du 16 juillet 2020 consid. 2.2). Ce refus d’instruire ne viole ainsi le droit d’être entendu des parties et l’art. 389 al. 3 CPP que si l’appréciation anticipée effectuée est entachée d’arbitraire (ATF 144 II 427 consid. 3.1.3 ; ATF 141 I 60 consid. 3.3 et les réf. citées, JdT 2015 I 115 p. 118).</w:t>
      </w:r>
    </w:p>
    <w:p>
      <w:r>
        <w:rPr>
          <w:b/>
        </w:rPr>
        <w:t>E. 3</w:t>
      </w:r>
    </w:p>
    <w:p>
      <w:r>
        <w:t>L’appelant requiert, à titre de mesures d’instruction, la production de la photographie originale prise le 18 juin 2020 par le radar, du manuel d’utilisation dudit radar, de « tout autre document photographique permettant d’établir que le « pistolet » radar n’a pas dûment dérivé de son axe pendant la mesure » et de la vidéo prise lors du constat de police.</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du 14 décembre 2020 consid. 3.2 ; TF 6B_481/2020 du 17 juillet 2020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w:t>
      </w:r>
    </w:p>
    <w:p>
      <w:r>
        <w:rPr>
          <w:b/>
        </w:rPr>
        <w:t>E. 3.2</w:t>
      </w:r>
    </w:p>
    <w:p>
      <w:r>
        <w:t>En l’espèce, Z.________ n’a jamais contesté avoir commis un excès de vitesse. En effet, entendu par la police le jour des faits, il a été renseigné sur la vitesse enregistrée par le radar, soit 137 km/h, et sur le dépassement constaté. A la question « Aviez-vous une raison particulière de circuler à cette vitesse ? », il a répondu qu’il avait un rendez-vous très important chez son notaire et qu’il croyait que la zone était limitée à 100 km/h (P. 8). Le 13 octobre 2020, lors de son audition par le procureur, il s’est uniquement déclaré surpris de l’ampleur du dépassement de vitesse, croyant à tort qu’il se trouvait dans une zone limitée à 100 km/h (PV audition 1, ll. 34 à 37). Il a encore ajouté qu’il était « un peu pressé » en raison d’un rendez-vous à [...], chez un notaire, et qu’il avait circulé « un peu plus vite que les limitations autorisées » ( ibidem , ll. 78 à 80). Enfin, lors des débats de première instance, il a confirmé qu’il était « pressé » (jgt, p. 3). Il s’agit d’autant de circonstances qui expliquent l’importance de l’excès de vitesse. A l’inverse, l’appelant, qui se limite à formuler des hypothèses, ne fait valoir aucun élément concret qui permettrait de douter de la fiabilité du contrôle de vitesse effectué. Sur ce point, la Police valaisanne a produit le certificat de formation de l’opérateur radar, le certificat de vérification de l’appareil utilisé le 18 juin 2020 et une copie de la photographie prise par le radar (P. 17/1). On peut voir sur celle-ci que c’est bien la voiture de l’appelant – et non le véhicule rouge situé à droite de l’image – qui a été visée et pointée, comme en atteste la présence du réticule de visée sur la Porsche du prévenu (cf. P. 17/4). De plus, dans son rapport du 11 mars 2021, la police valaisanne a détaillé la manière dont le contrôle de vitesse avait été opéré. Elle a en particulier confirmé que l’appareil de mesure était installé sur un trépied (P. 21). Ces éléments sont suffisants sur le plan probatoire et rien ne justifie de procéder à des plus amples vérifications. Les réquisitions de preuves doivent ainsi être rejetées.</w:t>
      </w:r>
    </w:p>
    <w:p>
      <w:r>
        <w:rPr>
          <w:b/>
        </w:rPr>
        <w:t>E. 4</w:t>
      </w:r>
    </w:p>
    <w:p>
      <w:r>
        <w:t>L’appelant fait valoir qu’il n’aurait pas bénéficié d’un tribunal impartial. En l’occurrence, la demande de récusation déposée par l’appelant à l’encontre du Président du Tribunal de police de l’arrondissement de Lausanne a été rejetée par la Chambre des recours pénale dans son arrêt du 10 mai 2022 (n° 313), puis par le Tribunal fédéral dans son arrêt du 27 septembre 2022 (1B_323/2022), de sorte que ce moyen est infondé. Au surplus, l’effet dévolutif complet de l’appel permet de toute manière à la Cour de céans de réexaminer la condamnation prononcée en première instance.</w:t>
      </w:r>
    </w:p>
    <w:p>
      <w:r>
        <w:rPr>
          <w:b/>
        </w:rPr>
        <w:t>E. 5</w:t>
      </w:r>
    </w:p>
    <w:p>
      <w:r>
        <w:t>L’appelant invoque une violation du principe in dubio pro reo en ce sens qu’il ne pourrait être exclu que le véhicule rouge situé à droite de la photographie prise par le radar (P. 17/4) ait faussé le contrôle, en circulant lui-même au-dessus de la vitesse autorisée. Il invoque également une violation de son droit d’être entendu, reprochant en substance au premier juge de n’avoir pas tenu compte de sa version des faits, notamment en refusant de donner suite à ses réquisitions de preuves.</w:t>
      </w:r>
    </w:p>
    <w:p>
      <w:r>
        <w:rPr>
          <w:b/>
        </w:rPr>
        <w:t>E. 5.1.1</w:t>
      </w:r>
    </w:p>
    <w:p>
      <w:r>
        <w:t>Le droit d'être entendu, garanti à l'art. 29 al. 2 Cst., comprend notamment celui de produire ou de faire administrer des preuves, à condition qu'elles soient pertinentes et de nature à influer sur la décision à rendre (ATF 145 I 73 consid. 7.2.2.1 ; ATF 143 V 71 consid. 4.1 ; ATF 142 II 218 consid. 2.3 ; ATF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 ATF 141 I 60 consid. 3.3 ; ATF 136 I 229 consid. 5.3 ; TF 6B_66/2022 du 19 avril 2022 consid. 2.1).</w:t>
      </w:r>
    </w:p>
    <w:p>
      <w:r>
        <w:rPr>
          <w:b/>
        </w:rPr>
        <w:t>E. 5.1.2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5.1.3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5.2</w:t>
      </w:r>
    </w:p>
    <w:p>
      <w:r>
        <w:t>La Cour de céans ne distingue aucune violation du droit d’être entendu, la version de l’appelant ayant dûment été examinée par le premier juge (cf. jgt, p. 7), pas plus qu’une violation de la présomption d’innocence. A cet égard, les preuves figurant au dossier, qui ne sont pas contestées pour l’ébriété du 9 mai 2020 et qui sont suffisantes, comme on l’a vu ( supra consid. 3.2), pour l’excès de vitesse, permettent de condamner l’appelant, sans aucun doute raisonnable, pour violation grave des règles de la circulation routière et conduite d’un bateau en état d’ébriété qualifiée.</w:t>
      </w:r>
    </w:p>
    <w:p>
      <w:r>
        <w:rPr>
          <w:b/>
        </w:rPr>
        <w:t>E. 6</w:t>
      </w:r>
    </w:p>
    <w:p>
      <w:r>
        <w:t>Invoquant une violation de l’art. 41 CP, l’appelant fait grief au premier juge d’avoir prononcé une peine privative de liberté en lieu et place d’une peine pécuniaire. Sur ce point, il relève que son casier judiciaire ne comporte que deux condamnations pour des infractions routières, la dernière en novembre 2013 pour des faits survenus en mai 2011. Il conteste par ailleurs toute absence de prise en conscience, exposant en substance qu’il a toujours admis, par le passé, le bien-fondé des sanctions prononcées à son encontre. Enfin, il soutient qu’un retrait du permis de conduire constitue une mesure suffisante pour garantir la sécurité publique. A titre subsidiaire, l’appelant considère que le Tribunal de police aurait dû assortir la peine privative de liberté d’un sursis de deux ans. A cet égard, il estime que les mesures administratives prononcées à son encontre n’ont concerné que des infractions de peu de gravité, qu’à l’exception d’infractions au code de la route, son casier judiciaire est vierge de toute autre inscription, que sa réputation professionnelle est irréprochable et qu’il est un homme honnête.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6.1.2</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 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6.1.3</w:t>
      </w:r>
    </w:p>
    <w:p>
      <w:r>
        <w:t>Le juge suspend en règle générale l'exécution d'une peine pécuniaire ou d'une peine privative de liberté de deux au plus lorsqu'une peine ferme ne paraît pas nécessaire pour détourner l'auteur d'autres crimes ou délits (art. 42 al. 1 CP).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6.2</w:t>
      </w:r>
    </w:p>
    <w:p>
      <w:r>
        <w:t>En l’occurrence, à l’instar du premier juge, la Cour de céans constate que l’appelant est un multirécidiviste en matière d’infractions à la loi sur la circulation routière, comme en témoignent les deux condamnations mentionnées dans son casier judiciaire et les dix mesures administratives, dont neuf retraits du permis de conduire, détaillées dans l’extrait SIAC. Les retraits de permis ont été pour de nombreux excès de vitesse et plusieurs ébriétés. Or, aucune des sanctions prononcées, que ce soit sur plan pénal ou administratif, n’a eu le moindre effet sur son comportement délictuel. Dans ces conditions, on ne voit pas en quoi le prononcé d’une peine pécuniaire pourrait influer sur l’appelant, qui, malgré deux condamnations pénales et de multiples retraits de son permis de conduire qui auraient dû constituer autant d’avertissements, n’a jamais cru bon de remettre en question son comportement au volant. Ce sont donc évidemment des motifs de prévention spéciale qui dictent le choix d’une peine privative de liberté. Seule une sanction de cette nature est susceptible d’exercer un effet de contention sur l’appelant. Cela étant, avec le premier juge (cf. jgt, p. 8), il faut constater que la culpabilité de l’appelant est lourde et sa prise de conscience très faible. Celui-ci a à nouveau conduit au mépris de la sécurité routière, en circulant à une vitesse de 133 km/h, sur une zone de travaux, connue et annoncée, limitée à 80 km/h. Son comportement était d’autant plus dangereux qu’il n’était pas seul sur la route, comme l’atteste la photographie prise par le radar (cf. P. 17/4). Un peu plus d’un mois après, il commettait une conduite en état d’ébriété sur un bateau. Par conséquent, il y a lieu de sanctionner la violation grave des règles de la circulation, qui constitue abstraitement l’infraction la plus grave, de 60 jours de peine privative de liberté. Par l’effet du concours, cette peine doit être augmentée de 30 jours pour réprimer la conduite d’un bateau en état d’ébriété qualifiée, ce qui conduit à retenir, comme l’a fait le première juge, une peine privative de liberté de 90 jours. Cette peine ne sera pas assortie du sursis, le pronostic étant défavorable. En effet, comme on l’a vu ci-dessus, l’appelant est un multirécidiviste en matière d’infractions au code de la route, insensible aux sanctions prononcées à son encontre et qui n’a jamais démontré la moindre réelle remise en question. Il s’ensuit que la peine privative de liberté de 90 jours prononcées en première instance doit être confirmée. Il en sera de même de l’amende de 500 fr. destinée à sanctionner la contravention commise, celle-ci étant adéquate au regard de la situation personnelle de l’appelant.</w:t>
      </w:r>
    </w:p>
    <w:p>
      <w:r>
        <w:rPr>
          <w:b/>
        </w:rPr>
        <w:t>E. 7</w:t>
      </w:r>
    </w:p>
    <w:p>
      <w:r>
        <w:t>Au vu de ce qui précède, l’appel doit être rejeté et le jugement entrepris confirmé. Vu l’issue de la cause, les frais de la procédure d’appel, constitués du seul émolument de jugement, par 1’540 fr. (art. 21 al. 1 TFIP), seront mis à la charge de Z.________, qui succombe (art. 428 al. 1 CPP). Pour ce même motif, il n’y a pas lieu de lui allouer une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