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438 vom 10. Mai 2022</w:t>
      </w:r>
    </w:p>
    <w:p>
      <w:r>
        <w:t>VD Tribunal cantonal, 2022-05-10, FR</w:t>
      </w:r>
    </w:p>
    <w:p>
      <w:r>
        <w:rPr>
          <w:b/>
        </w:rPr>
        <w:t xml:space="preserve">Quelle: </w:t>
      </w:r>
      <w:r>
        <w:t>https://mcp.opencaselaw.ch/entscheid/vd_findinfo_Jug___2022___438</w:t>
      </w:r>
    </w:p>
    <w:p>
      <w:r>
        <w:t>FR: VD_FINDINFO Jug / 2022 / 438 du 10 mai 2022</w:t>
      </w:r>
    </w:p>
    <w:p>
      <w:r>
        <w:t>IT: VD_FINDINFO Jug / 2022 / 438 del 10 maggio 2022</w:t>
      </w:r>
    </w:p>
    <w:p>
      <w:pPr>
        <w:pStyle w:val="Heading2"/>
      </w:pPr>
      <w:r>
        <w:t>Regeste</w:t>
      </w:r>
    </w:p>
    <w:p>
      <w:r>
        <w:t>INSOUMISSION À UNE DÉCISION DE L'AUTORITÉ, CONTRAINTE{DROIT PÉNAL}, TENTATIVE{DROIT PÉNAL}, FIXATION DE LA PEINE, RÉVOCATION DU SURSIS, PEINE D'ENSEMBLE, RÉPARTITION DES FRAIS | 22 ad 181 CP, 292 CP, 46 CP, 47 CP, 49 CP, 426 al. 2 CPP (CH), 433 CPP (CH)</w:t>
      </w:r>
    </w:p>
    <w:p>
      <w:pPr>
        <w:pStyle w:val="Heading2"/>
      </w:pPr>
      <w:r>
        <w:t>Erwägungen</w:t>
      </w:r>
    </w:p>
    <w:p>
      <w:r>
        <w:rPr>
          <w:b/>
        </w:rPr>
        <w:t>E. 1</w:t>
      </w:r>
    </w:p>
    <w:p>
      <w:r>
        <w:t>Interjeté dans les formes et délais légaux (art. 399 CPP), par le prévenu ayant la qualité pour recourir (art. 382 al. 1 CPP) contre le jugement d’un tribunal de première instance qui a clos la procédure (art. 398 al. 1 CPP), l’appel de W.________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w:t>
      </w:r>
    </w:p>
    <w:p>
      <w:r>
        <w:rPr>
          <w:b/>
        </w:rPr>
        <w:t>E. 2.2</w:t>
      </w:r>
    </w:p>
    <w:p>
      <w:r>
        <w:t>et les références citées).</w:t>
      </w:r>
    </w:p>
    <w:p>
      <w:r>
        <w:rPr>
          <w:b/>
        </w:rPr>
        <w:t>E. 3.1</w:t>
      </w:r>
    </w:p>
    <w:p>
      <w:r>
        <w:t>L’appelant conteste sa condamnation pour insoumission à une décision de l’autorité en relation avec le chiffre 4 de l’acte d’accusation (cf. supra consid. 2.3 dans la partie « En fait »), l’aspect subjectif n’étant pas réalisé.</w:t>
      </w:r>
    </w:p>
    <w:p>
      <w:r>
        <w:rPr>
          <w:b/>
        </w:rPr>
        <w:t>E. 3.2</w:t>
      </w:r>
    </w:p>
    <w:p>
      <w:r>
        <w:t>L'art. 292 CP prévoit que celui qui ne se sera pas conformé à une décision à lui signifiée, sous la menace de la peine sanctionnant l'infraction à cette norme, par une autorité ou un fonctionnaire compétents, sera puni d'une amende. L'infraction réprimée par l'art. 292 CP suppose que l'auteur ait connaissance de l'injonction, de sa validité et de la sanction attachée au non-respect ; le dol éventuel suffit (ATF 119 IV 238 consid. 2a p. 240; TF 6B_717/2020 du 26 novembre 2020 consid. 4.1; TF 6B_1073/2018 du 23 août 2019 consid. 7.1).</w:t>
      </w:r>
    </w:p>
    <w:p>
      <w:r>
        <w:rPr>
          <w:b/>
        </w:rPr>
        <w:t>E. 3.3</w:t>
      </w:r>
    </w:p>
    <w:p>
      <w:r>
        <w:t>Le 29 mai 2020, l’appelant a envoyé une photo de lui à l’intimée par WhatsApp. Deux minutes après, il lui a adressé le message suivant : « Fausse manœuvre – désolé… ». Au regard du profil du prévenu tel qu’il ressort du jugement de première instance et de sa précédente condamnation, on peine à imaginer qu’il puisse s’agir d’une inadvertance, comme il le soutient. Si tel avait été le cas, on ne comprend pas pourquoi il ne s’est pas montré plus prudent en supprimant le contact de la plaignante dans ses WhatsApp ou en étant simplement attentif à vérifier le destinataire de ses envois. On ne comprend pas non plus pourquoi, au lieu de prendre la peine d’écrire, deux minutes plus tard, « fausse manœuvre - désolé », il n’a pas tout simplement supprimé le message initial incluant une photographie de lui et de son petit-fils (jugt, p. 8) avant que la destinataire puisse avoir connaissance de son contenu, ce qu’il a admis être capable de faire (p. 3 supra ), comme cela avait été fait dans le cas 1 de l’acte d’accusation (cf. supra consid. 2.1 dans la partie « En fait ») lors d’un précédent envoi un mois auparavant. Même à suivre le raisonnement du prévenu selon lequel il aurait agi par erreur (appel, p. 4), le fait qu’il n’ait pas supprimé le message litigieux – procédé auquel il a d’ailleurs par la suite recouru à plusieurs reprises concernant d’autres envois à l’intimée (P. 9/1) – est d’autant moins compréhensible qu’il a lui-même qualifié de « terrible » son envoi au vu de son contenu (jugt, p.8), alors qu’il savait parfaitement qu’il avait l’interdiction de prendre contact avec l’intimée de quelque manière que ce soit. Au vu de ces éléments, c ’est à juste titre que W.________, qui n’a pas respecté l’ordre qui lui avait été donné par l’autorité sous la menace des sanctions prévues – ce qui n’est pas contesté –, a été reconnu coupable d’insoumission à une décision de l’autorité au sens de l’art. 292 CP (Code pénal suisse du 21 décembre 1937 ; RS 311.0) pour ce cas également.</w:t>
      </w:r>
    </w:p>
    <w:p>
      <w:r>
        <w:rPr>
          <w:b/>
        </w:rPr>
        <w:t>E. 4.1</w:t>
      </w:r>
    </w:p>
    <w:p>
      <w:r>
        <w:t>p. 107). En particulier, les démarches doivent apparaître nécessaires et adéquates pour la défense raisonnable du point de vue de la partie plaignante (ATF 139 IV 102 consid. 4.3 p. 108).</w:t>
      </w:r>
    </w:p>
    <w:p>
      <w:r>
        <w:rPr>
          <w:b/>
        </w:rPr>
        <w:t>E. 4.2.1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soit propre à entraver le destinataire dans sa liberté de décision ou d’action (ATF 120IV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consid. 3.3.1 ; ATF 134 IV 216 consid. 4.2 ; ATF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illégitime constitue, au vu des circonstances, un moyen de pression abusif ou contraire aux mœurs (ATF 137 IV 326 consid. 3.3.1 ; ATF 134 IV 216 consid. 4.1 : ATF 120 IV 17 consid. 2a/bb).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arrêts cités ; au sujet de la contrainte susceptible d’être réalisée par un commandement de payer, cf. TF 6S.853/2000 du 9 mai 2001 et TF 6S.87411996 du 26 février 1997).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4.2.2</w:t>
      </w:r>
    </w:p>
    <w:p>
      <w:r>
        <w:t>Selon l’art. 22 al. 1 CP, le juge peut atténuer la peine si l’exécution d’un crime ou d’un délit n’est pas poursuivie jusqu’à son terme ou que le résultat nécessaire à la consommation de l’infraction ne se produit pas ou ne pouvait pas se produire. Il y a tentative si l'auteur a réalisé tous les éléments subjectifs de l'infraction et manifesté sa décision de la commettre, alors que les éléments objectifs font en tout ou partie défaut (TF 6B_54/2011 du 26 avril 2011). Lorsque la victime ne se laisse pas intimider et n'adopte pas le comportement voulu par l'auteur, ce dernier est punissable de tentative de contrainte (ATF 129 IV 262 ; ATF 106 IV 125 consid. 2b p. 129).</w:t>
      </w:r>
    </w:p>
    <w:p>
      <w:r>
        <w:rPr>
          <w:b/>
        </w:rPr>
        <w:t>E. 4.3</w:t>
      </w:r>
    </w:p>
    <w:p>
      <w:r>
        <w:t>Le Tribunal correctionnel a libéré l’appelant du chef d’accusation de tentative de contrainte pour les cas n° 7 et 8 de l’acte d’accusation, en expliquant qu’il s’agissait d’actions licites. Il l’a également libéré des infractions de calomnie et diffamation pour le cas n° 2, au motif d’une part que le prévenu avait apporté la preuve de la vérité en ce qui concernait l’absence d’annonce des transformations au [...] et d’autre part que les autres affirmations n’étaient pas avilissantes. En contactant la courtière mandatée par L.________ pour la vente de son bien immobilier, puis un employé du Service juridique de [...], l’appelant a cherché à manipuler ces tiers en leur donnant diverses informations négatives sur la plaignante afin que ceux-ci interviennent d’une quelconque manière pour bloquer la vente de l’immeuble de l’intimée. Contrairement à ce qu’il prétend, il n’a pas agi dans le but uniquement de « faire décaler » la vente (p. 3 supra ). A ce sujet, la courtière [...] a expliqué que l’appelant avait agi de la sorte pour faire pression sur la vendeuse, qu’il voulait faire bloquer la vente et qu’il avait tout fait pour dénigrer la plaignante pour stopper la vente de l’immeuble (cf. PV aud. 1). Le fait de s’adresser à des tiers en leur donnant diverses informations qualifiées par le Tribunal de première instance de licites ou non avilissantes ne suffit pas pour écarter la qualification de contrainte. En effet, dans le cas particulier, la manière de procéder de l’appelant – visant à contacter des tiers dans une affaire qui ne le concerne pas – n’est pas dans un rapport raisonnable avec le but visé et constitue des moyens de pression abusifs. De plus, le but poursuivi était tout à fait illégitime. En effet, l’appelant cherchait à faire bloquer la vente d’un bien immobilier dont il n’est pas propriétaire et sur lequel il n’a aucun droit légitime, n’étant pas lui-même créancier-gagiste. Peu importe à cet égard qu’il ait, par la suite, réussi, par requête de mesures superprovisionnelles, à obtenir temporairement l’inscription du blocage au Registre foncier sur la parcelle en question (P. 9/1). Par ailleurs, au vu des obligations de loyauté et fidélité de la courtière, l’appelant, en contactant cette dernière pour lui fournir des informations négatives sur la vendeuse, a tenté de créer un climat de litige et de rompre le lien de confiance entre elles, en vue de compromettre la vente (PV aud. 1, lignes 111 ss). Enfin, le fait que les tiers contactés n’aient pas été en mesure de bloquer la vente en question est sans pertinence, seule la tentative étant retenue. Dans ces conditions, la condamnation de W.________ pour tentative de contrainte doit être confirmée.</w:t>
      </w:r>
    </w:p>
    <w:p>
      <w:r>
        <w:rPr>
          <w:b/>
        </w:rPr>
        <w:t>E. 5.1</w:t>
      </w:r>
    </w:p>
    <w:p>
      <w:r>
        <w:t>L’appelant conclut au prononcé d’une amende, seule l’infraction d’insoumission à une décision de l’autorité étant retenue, et conteste la révocation de son précédent sursis.</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consid. 1.1.2 ; ATF 127 IV 101 consid. 2b ; TF 6B_688/2014 du 22 décembre 2017 consid. 27.2.1 ; TF 6B_1175/2017 du 11 avril 2018 consid. 2.1). La peine privative de liberté et la peine pécuniaire ne sont pas des sanctions du même genre (ATF 144 IV 313 consid. 1.1; ATF 144 IV 217 consid. 2.2).</w:t>
      </w:r>
    </w:p>
    <w:p>
      <w:r>
        <w:rPr>
          <w:b/>
        </w:rPr>
        <w:t>E. 5.2.3</w:t>
      </w:r>
    </w:p>
    <w:p>
      <w:r>
        <w:t>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6B_1165/2013 du 1er mai 2014 consid.</w:t>
      </w:r>
    </w:p>
    <w:p>
      <w:r>
        <w:rPr>
          <w:b/>
        </w:rPr>
        <w:t>E. 5.3</w:t>
      </w:r>
    </w:p>
    <w:p>
      <w:r>
        <w:t>En l’espèce, le pronostic est défavorable. Le prévenu est en récidive spéciale par rapport à sa précédente condamnation et les actes concernent la même victime. La première condamnation date du 7 avril 2020 et porte sur une condamnation à 11 mois de peine privative de liberté avec sursis. Or, il a récidivé dans le même mois et a persévéré malgré les plaintes successives déposées par l’intimée. Il n’a ainsi considération ni pour cette dernière, ni pour les décisions civiles et pénales rendues à son encontre. Son comportement est obsessionnel. Dès son audition du 23 septembre 2020, il s’est posé en victime, affirmant qu’il avait « payé un lourd tribut dans cette histoire » et qu’il était « difficile de retrouver la sérénité (…), de ne pas avoir une colère légitime (…) » (PV aud. 2, lignes 58 et 59). Lors de l’audience de première instance, il a minimisé ou cherché à justifier ses actes, persistant à se victimiser et en relevant simplement son tempérament sanguin (jugt, p. 10). En outre, il conteste toujours les violences physiques à l’égard de l’intimée qui l’ont conduit à sa précédente condamnation (p. 4 supra ). Enfin, force est de constater que l’exécution d’une détention préventive de 180 jours dans la précédente affaire n’a eu à l’évidence aucun effet sur l’intéressé. Dans ces conditions, le précédent sursis assortissant la peine privative de liberté et la peine pécuniaire doit être révoqué et la nouvelle peine ne saurait être assortie d’un sursis . Vérifiée d’office, la quotité de la peine prononcée par les premiers juges apparaît particulièrement clémente, mais on ne peut que la confirmer, compte tenu de l’interdiction de la reformatio in pejus . Pour le reste, elle a été fixée selon les critères légaux et la culpabilité de l’appelant, de sa prise de conscience nulle, de son attitude vis-à-vis de la plaignante et de la récidive, ce qui exclut le prononcé d’une peine pécuniaire. La peine privative de liberté doit ainsi être confirmée. C ’est donc à juste titre que le tribunal a prononcé une peine d’ensemble en application de l’art. 46 al. 1 CP. L’amende de 1'500 fr. prononcée pour sanctionner la contravention à l’art. 292 CP ne prête pas non plus à discussion. Pour le surplus, il peut être renvoyé à la motivation du jugement attaqué (jugt, pp. 23-25 ; art. 82 al. 4 CPP), qui est claire et convaincante.</w:t>
      </w:r>
    </w:p>
    <w:p>
      <w:r>
        <w:rPr>
          <w:b/>
        </w:rPr>
        <w:t>E. 6</w:t>
      </w:r>
    </w:p>
    <w:p>
      <w:r>
        <w:t>L’appelant conteste le tort moral octroyé à la plaignante, celle-ci n’ayant pas démontré son dommage. On ne saurait suivre l’appelant. Lors des débats de première instance, l’intimée a mentionné que la haine, l’injustice et l’abandon subis la hantaient au quotidien, qu’elle n’arrivait pas à cicatriser ses blessures, qu’elle voulait qu’on puisse arrêter les acharnements que l’appelant avait eus à son encontre, encore aujourd’hui à travers la Chambre patrimoniale, et qu’on ne soignait pas de blessures aussi violentes que celles reçues au long de ces dernières années. Les agissements du prévenu, soit l’envoi de messages par voie électronique et les pressions indirectes, ont réactivé les souffrances de l’intimée, comme celle-ci l’a expliqué de manière sincère lors de l’audience d’appel (p. 5 supra ). Partant, l e montant de 900 fr. alloué à titre d’indemnité pour tort moral est adéquat et doit être confirmé, compte tenu de l’atteinte à la personnalité subie par la victime.</w:t>
      </w:r>
    </w:p>
    <w:p>
      <w:r>
        <w:rPr>
          <w:b/>
        </w:rPr>
        <w:t>E. 7.1</w:t>
      </w:r>
    </w:p>
    <w:p>
      <w:r>
        <w:t>L’appelant conteste la répartition des frais et dépens, relevant qu’il a été acquitté des infractions de calomnie, diffamation, injure et tentative de contrainte pour les chiffres 7, 8 et 9 de l’acte d’accusation. Il s’oppose également au versement d’une indemnité au sens de l’art. 433 CPP, au motif que la présence d’un avocat aux côtés de la plaignante n’était pas nécessaire pour cette affaire.</w:t>
      </w:r>
    </w:p>
    <w:p>
      <w:r>
        <w:rPr>
          <w:b/>
        </w:rPr>
        <w:t>E. 7.2.1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p. 334; ATF 116 Ia 162 consid. 2c p. 168; TF 6B_203/2015 du 16 mars 2016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plus récemment TF 6B_203/2015 du 16 mars 2016 consid. 1.1).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(cf. TF 6B_331/2012 du 22 octobre 2012 consid. 2.3; TF 6B_143/2010 du 22 juin 2010 consid. 3.1; TF 1P.584/2006 du 22 décembre 2006 consid. 9.3; TF 1P.543/2001 du 1 er mars 2002 consid. 1.2). En cas d'acquittement partiel, la jurisprudence a reconnu qu'une certaine marge d'appréciation devait être laissée à l'autorité parce qu'il est difficile de déterminer avec exactitude les frais qui relèvent de chaque fait imputable ou non au condamné (TF 6B_950/2014 du 18 septembre 2015 consid. 1.2; TF 6B_218/2013 du 13 juin 2013 consid. 5.2).</w:t>
      </w:r>
    </w:p>
    <w:p>
      <w:r>
        <w:rPr>
          <w:b/>
        </w:rPr>
        <w:t>E. 7.2.2</w:t>
      </w:r>
    </w:p>
    <w:p>
      <w:r>
        <w:t>A teneur de l'art. 429 al. 1 let. a CPP, le prévenu acquitté totalement ou en partie ou au bénéfice d'une ordonnance de classement, a droit à une indemnité pour les dépenses occasionnées par l'exercice raisonnable de ses droits de procédure. Aux termes de l'art. 430 al. 1 let. a et b CPP, l'autorité pénale peut réduire ou refuser l'indemnité ou la réparation du tort moral lorsque le prévenu a provoqué illicitement et fautivement l'ouverture de la procédure ou a rendu plus difficile la conduite de celle-ci ou si la partie plaignante est astreinte à indemniser le prévenu. L'alinéa 1 let. a de cette disposition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p. 357). Lorsque la condamnation aux frais n'est que partielle, la réduction de l'indemnité devrait s'opérer dans la même mesure.</w:t>
      </w:r>
    </w:p>
    <w:p>
      <w:r>
        <w:rPr>
          <w:b/>
        </w:rPr>
        <w:t>E. 7.2.3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w:t>
      </w:r>
    </w:p>
    <w:p>
      <w:r>
        <w:rPr>
          <w:b/>
        </w:rPr>
        <w:t>E. 7.3</w:t>
      </w:r>
    </w:p>
    <w:p>
      <w:r>
        <w:t>Les premiers juges ont accordé à l’appelant une réduction de 30 % des frais totaux de 10'067 fr. 65, comprenant l’indemnité de son défenseur d’office. Cette répartition est extrêmement favorable à l’appelant. En effet, ce dernier a eu globalement une attitude inadéquate, harcelante, dénigrante et répétée envers la plaignante, violant ainsi l’art. 28 CC. Pour le reste, la plaignante obtient gain de cause sur l’essentiel, de sorte que l’indemnité octroyée ne prête pas le flanc à la critique.</w:t>
      </w:r>
    </w:p>
    <w:p>
      <w:r>
        <w:rPr>
          <w:b/>
        </w:rPr>
        <w:t>E. 8</w:t>
      </w:r>
    </w:p>
    <w:p>
      <w:r>
        <w:t>En conclusion, l’appel doit être rejeté et le jugement attaqué intégralement confirmé. La condamnation de W.________, qui succombe dans ses conclusions, devant être confirmée, il n’y a pas lieu à allocation de dépens, ceux-ci n’étant en tout état de cause pas dus, puisqu’il bénéficie d’un défenseur d’office. Sur la base de la liste des opérations produite par le défenseur d’office de l’appelant, faisant état d’une activité de 10h50, total dont il n’y a pas lieu de s’écarter et auquel il faut ajouter 1 heure pour le temps d’audience, le montant des honoraires s'élève à 2'130 fr. (11h50 x 180 fr.), auxquels s'ajoutent des débours forfaitaires de 2 % par 42 fr. 60, une vacation de 120 fr. et la TVA au taux de 7,7 % sur le tout par 176 fr. 55, de sorte que c'est une indemnité totale de 2'469 fr. 15 qui sera allouée à Me Laurent Schuler. Vu l’issue de la cause, les frais de la procédure d'appel, par 5'179 fr. 15, constitués en l’espèce de l’émolument d’arrêt, par 2'710 fr., (art. 21 al. 1 et 2 TFIP [tarif des frais de procédure et indemnités en matière pénale du 28 septembre 2010 ; BLV 312.03.1]) ainsi que de l’indemnité allouée à son défenseur d'office, seront mis à la charge de W.________, qui succombe (art. 428 al. 1 CPP). W.________ ne sera tenu de rembourser à l'Etat l’indemnité allouée à son défenseur d’office que lorsque sa situation financière le permettra. La plaignante, L.________, qui a procédé avec le concours d’un conseil de choix et qui obtient gain de cause dans la mesure où elle a conclu au rejet de l’appel, a droit à une indemnité pour l'exercice raisonnable de ses droits de procédure en appel (art. 433 CPP). Elle conclut à l’allocation d’une indemnité totale de 2'000 fr., montant qui peut être admis tel quel et qui sera à la charge de W.________.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