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436 vom 10. August 2022</w:t>
      </w:r>
    </w:p>
    <w:p>
      <w:r>
        <w:t>VD Tribunal cantonal, 2022-08-10, FR</w:t>
      </w:r>
    </w:p>
    <w:p>
      <w:r>
        <w:rPr>
          <w:b/>
        </w:rPr>
        <w:t xml:space="preserve">Quelle: </w:t>
      </w:r>
      <w:r>
        <w:t>https://mcp.opencaselaw.ch/entscheid/vd_findinfo_Jug___2022___436</w:t>
      </w:r>
    </w:p>
    <w:p>
      <w:r>
        <w:t>FR: VD_FINDINFO Jug / 2022 / 436 du 10 août 2022</w:t>
      </w:r>
    </w:p>
    <w:p>
      <w:r>
        <w:t>IT: VD_FINDINFO Jug / 2022 / 436 del 10 agosto 2022</w:t>
      </w:r>
    </w:p>
    <w:p>
      <w:pPr>
        <w:pStyle w:val="Heading2"/>
      </w:pPr>
      <w:r>
        <w:t>Regeste</w:t>
      </w:r>
    </w:p>
    <w:p>
      <w:r>
        <w:t>VIOLATION DU DEVOIR D'ASSISTANCE OU D'ÉDUCATION, MAUVAIS TRAITEMENTS ENVERS LES ENFANTS, LÉSION CORPORELLE SIMPLE, MÈRE | 123 ch. 1 CP, 123 ch. 2 CP, 126 CP, 219 al. 1 CP, 40 CP, 42 al. 1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d’A.Q.________ est recevable.</w:t>
      </w:r>
    </w:p>
    <w:p>
      <w:r>
        <w:rPr>
          <w:b/>
        </w:rPr>
        <w:t>E. 1.1</w:t>
      </w:r>
    </w:p>
    <w:p>
      <w:r>
        <w:t>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CR CPP, op. cit., n. 34 ad art. 10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L’appelant requiert, à titre de mesure d’instruction, l’audition de [...], l’une de ses amies.</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références citées, JdT 2015 I 115 p. 118).</w:t>
      </w:r>
    </w:p>
    <w:p>
      <w:r>
        <w:rPr>
          <w:b/>
        </w:rPr>
        <w:t>E. 3.2</w:t>
      </w:r>
    </w:p>
    <w:p>
      <w:r>
        <w:t>Le témoin dont l’audition est requise est une amie de l’appelante, qui pourrait, selon elle, attester qu’elle s’occuperait de ses enfants de manière adéquate. En l’occurrence, ce témoignage ne présente aucune utilité compte tenu des nombreuses preuves plus pertinentes qui figurent déjà au dossier et qui seront exposées ci-dessous.</w:t>
      </w:r>
    </w:p>
    <w:p>
      <w:r>
        <w:rPr>
          <w:b/>
        </w:rPr>
        <w:t>E. 4</w:t>
      </w:r>
    </w:p>
    <w:p>
      <w:r>
        <w:t>Invoquant une violation de la présomption d’innocence, l’appelante soutient d’une part que les déclarations de ses enfants auraient été suggérées par leur père, D.Q.________, dans le cadre d’un conflit de loyauté, notamment dans le but de la priver de la garde, et, d’autre part, qu’il existerait un doute quant à l’auteur réel des violences commises sur ses enfants.</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4.1.2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w:t>
      </w:r>
    </w:p>
    <w:p>
      <w:r>
        <w:rPr>
          <w:b/>
        </w:rPr>
        <w:t>E. 4.2.1</w:t>
      </w:r>
    </w:p>
    <w:p>
      <w:r>
        <w:t>C’est en vain que l’appelante plaide le doute au sujet de l’auteur des mauvais traitements infligés à ses enfants. Il en va de même de ses explications dénuées de toute crédibilité selon lesquelles elle serait victime d’une machination ourdie par son mari, D.Q.________, dont elle est aujourd’hui séparée, lequel aurait, si on la comprend bien, manipulé ses enfants, les intervenants, ses proches et son voisinage en vue de lui faire perdre la garde de ses enfants. En effet, quoi qu’elle en dise, les preuves à son encontre, qui, contrairement à ce qu’elle soutient, ne reposent pas uniquement sur les accusations de son mari, sont accablantes et sont énoncées de manière détaillée et convaincante en pages 40 à 44 du jugement entrepris. Cela étant, avec le premier juge, il faut constater que les suspicions de mauvais traitements de la prévenue sur ses enfants proviennent de nombreuses sources distinctes et concordantes. Il y a tout d’abord les multiples constats des voisins et des intervenants sociaux, ces derniers ayant reçu plusieurs signalements concordants du père, de la police et de la gérance de l’immeuble. Ceux-ci sont détaillés dans la dénonciation du SPJ du 10 mai 2019 (P. 6/2 et ses annexes). Ainsi, un premier signalement de la police du 27 mars 2019 mentionne que, dans le cadre d’un conflit parental sévère, les enfants B.Q.________ et C.Q.________ ont été témoins d’insultes régulières entre leurs parents ; leur père faisait en outre état de négligence et de violence de la part de la prévenue. Les 3 et 8 avril 2019 sont venus s’ajouter trois nouveaux signalements émanant de la gérance immobilière et de deux voisins. Il en ressort, en substance, qu’A.Q.________ faisait preuve de violence physique à l’égard de ses enfants, qu’elle les insultait régulièrement et qu’elle se montrait négligente, les laissant, malgré leur jeune âge, sans la surveillance d’un adulte. Les 17 avril et 2 mai 2019, deux signalements supplémentaires ont été établis par la police. Ceux-ci font état de potentiels mauvais traitements de la prévenue sur ses enfants, ainsi que d’injures et de menaces qu’elle aurait proférées à l’égard de son mari, en présence de ses enfants. Ces mêmes constatations ont ensuite été faites en milieu scolaire au sujet de l’enfant B.Q.________, celui-ci ayant à plusieurs reprises tenu des propos selon lesquels il avait été frappé par sa mère. Ainsi, sa maîtresse de classe, M.________, a indiqué que, le 17 novembre 2019, B.Q.________ avait dit à l’une de ses enseignantes, Z.________ : « Maman bobo », tout en montrant sa bouche. Il présentait ce jour-là une égratignure à la joue et une cloque sur le pouce (PV audition 8, ll. 74 à 77). Le 13 janvier 2020, il avait déclaré à l’assistante à l’intégration : « Maman taper moi » ( ibidem , l. 88). Le 9 mars 2020, il avait encore dit : « Maman taper moi » et en se mordant l’index, « maman très fort », ajoutant « maman casser ascenseur » et « maman taper » ( ibidem , ll. 118 à 121). M.________ a encore évoqué un épisode du 10 mars 2020, lors duquel elle avait constaté que B.Q.________ avait les ongles coupés jusqu’au sang ( ibidem, ll. 122 ss). Elle en avait été fortement ébranlée ; pour elle, il était évident que c’était sa maman qui lui avait coupé les ongles, dès lors que c’était elle qui s’occupait de l’enfant, celui-ci rentrant chez lui à midi ( ibidem , ll. 200 à 202). L’ensemble des constations de cette enseignante sont pour le surplus décrites dans la dénonciation pénale complémentaire établie le 18 mai 2020 par le SPJ (cf. P. 30/1). Par ailleurs, à la suite d’une annonce du père relative à des lésions constatées sur sa fille C.Q.________, celle-ci a été conduite à l’Hôpital de l’enfance en vue d’un examen médical par le CAN Team, dont les conclusions sont détaillées ci-dessus ( supra Faits ch. 3.4). Il en ressort notamment que l’enfant a confirmé que sa mère lui avait causé des ecchymoses sur la joue gauche, au bas du dos et sur la fesse gauche, et qu’elle l’avait mordue (P. 30/2, p. 3). Parallèlement, le SPJ a saisi le Tribunal civil d’arrondissement de l’Est vaudois, lequel a retiré la garde des enfants à A.Q.________ pour la confier au SPJ ; les enfants ont été placés chez leur père. On relèvera que depuis lors, plus aucun mauvais traitement n’a été relevé par les intervenants, l’enseignante de B.Q.________ ayant constaté chez lui un changement « immédiat », « radical » et « très positif », se traduisant notamment par une apparition de « joie de vivre » (PV audition 8, p. 4). De même, les témoignages recueillis lors de la procédure confirment plusieurs actes de maltraitance commis par l’appelante sur ses enfants : - L.________, une voisine, a confirmé avoir, le 17 mars 2019, vu les enfants B.Q.________ et C.Q.________, seuls et sans surveillance, sur un petit balcon de la cage d’escalier. De peur qu’ils ne tombent, elle était restée auprès d’eux (PV audition 6). Son ami, T.________, a confirmé ces déclarations (PV audition 5). Tous deux ont fait part de leur inquiétude pour le bien-être des enfants et de leur intention de renseigner le SPJ. T.________ a par ailleurs confirmé avoir entendu « les cris des enfants avec A.Q.________ qui leur criait dessus » (jgt, p. 22) ; - O.________, père de la prévenue, a déclaré que sa fille se montrait agressive envers ses enfants, précisant l’avoir vue, à une occasion, les frapper. Il a également rapporté les propos de sa sœur, qui avait constaté qu’A.Q.________ se comportait brutalement avec ses enfants. Lui-même avait observé que ses petits-enfants semblaient tristes et maltraités, que leurs habits n’étaient ni repassés ni lavés correctement et qu’ils souffraient de carences éducatives (P. 6/2) ; - D.Q.________ a confirmé, en particulier, avoir vu son épouse donner des gifles et des coups de pied à B.Q.________, et l’avoir insulté, en le traitant de « connard » ou de « merde » (PV audition 1) ; - D.________, ex-compagnon d’A.Q.________, a déclaré que celle-ci avait laissé à plusieurs reprises ses enfants sans surveillance. A cet égard, il a mentionné l’épisode décrit au chiffre 2.2 de l’acte d’accusation (PV audition 2, R. 7, p. 6). Ces faits ont été confirmés et corroborés par un voisin de l’immeuble, R.________, qui avait entendu les enfants crier et frapper contre la porte, s’en était inquiété et avait vu la prévenue arriver avec son compagnon, en prétendant faussement qu’elle était juste allée à la cave pour l’aider (P. 6/1, p. 7). Avec le premier juge, on ne distingue pas pour quel motif des voisins et des proches auraient choisi de s’impliquer, en témoignant contre l’appelante, s’ils n’avaient pas eu des raisons suffisantes et sérieuses de considérer que celle-ci, par ses actes, mettaient gravement en danger l’intégrité corporelle et psychique de ses enfants, tous ayant manifesté une vive inquiétude à leur égard. En outre, rien au dossier n’atteste d’un « complot » ourdi par le père visant à priver l’appelante de son droit de garde, l’intéressée ne fournissant d’ailleurs aucun élément concret qui pourrait laisser penser que tel serait le cas. Enfin, la Cour de céans constatera que l’appelante n’a même pas pu contenir son impulsivité devant le premier juge, notamment en se permettant de menacer un témoin, ou devant les auteurs de l’expertise pédopsychiatrique (cf. jgt, p. 43), tous les renseignements se rejoignant en définitive pour retenir que la prévenue était incapable de maîtriser ses débordements à l’encontre de ses enfants en les dénigrant, en hurlant, en les insultant et en les frappant. En définitive, les faits retenus par le Tribunal de police à l’encontre de l’appelante sont établis à satisfaction de droit et sans violation de la présomption d’innocence.</w:t>
      </w:r>
    </w:p>
    <w:p>
      <w:r>
        <w:rPr>
          <w:b/>
        </w:rPr>
        <w:t>E. 5</w:t>
      </w:r>
    </w:p>
    <w:p>
      <w:r>
        <w:t>L’appelante invoque une violation de l’art. 219 CP dès lors qu’il ne serait pas établi qu’elle aurait maltraité ses enfants ou manqué passivement à ses obligations. Elle considère tout au plus que le premier juge aurait dû appliquer l’art. 219 al. 2 CP et retenir que la violation du devoir d’assistance et d’éducation était intervenue par négligence.</w:t>
      </w:r>
    </w:p>
    <w:p>
      <w:r>
        <w:rPr>
          <w:b/>
        </w:rPr>
        <w:t>E. 5.1</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 ainsi, sont notamment des garants les parents naturels ou adoptifs, le tuteur, le maître d'école, le responsable d'une institution, et le directeur d'un home ou d'un internat (ATF 125 IV 64 consid. 1a ; TF 6B_978/2021 du 5 octobre 2022 consid. 5.2).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1a, SJ 2000 I 443 ; ATF 125 IV 64 consid. 1a ; TF 6B_978/2021 précité consid. 5.2).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6B_1220/2020 du 1 er juillet 2020 consid. 1.2).</w:t>
      </w:r>
    </w:p>
    <w:p>
      <w:r>
        <w:rPr>
          <w:b/>
        </w:rPr>
        <w:t>E. 5.2</w:t>
      </w:r>
    </w:p>
    <w:p>
      <w:r>
        <w:t>C’est d’abord en vain que l’appelante revient sur certains faits qui, selon elle, ne seraient pas établis dans l’examen qu’elle fait des éléments constitutifs de l’art. 219 CP. Comme on l’a vu, l’entier des faits retenus à l’encontre de la prévenue par le premier juge est établi, y compris de ne pas avoir nourri ses enfants sans raison alors qu’ils avaient faim, de les avoir laissés à plusieurs reprises sans surveillance et d’être à l’origine des lésions constatées sur ceux-ci. En outre, les atteintes au développement résultant de ces mauvais traitement sont documentés de façon précise par les experts et énoncés en pages 39 et 40, puis 47 et 48 du jugement (cf. également supra Faits ch. 3.7). Il s’agit incontestablement, pour chaque enfant, d’une pluralité de mises en danger concrètes. Il ne fait aucun doute non plus que l’infraction est intentionnelle. La prévenue a agi durablement, durant plusieurs années, à réitérées reprises au préjudice de ses deux enfants, alors qu’ils avaient entre 3 et 5 ans pour B.Q.________ et entre 1 an et demi et 3 ans et demi pour C.Q.________, en leur infligeant diverses formes de maltraitance, de sorte qu’elle ne pouvait ignorer qu’elle causait de graves traumatismes qui auraient des conséquences sur le développement de ses enfants. Il s’ensuit que la condamnation pour violation du devoir d’assistance ou d’éducation doit ainsi être confirmée.</w:t>
      </w:r>
    </w:p>
    <w:p>
      <w:r>
        <w:rPr>
          <w:b/>
        </w:rPr>
        <w:t>E. 6</w:t>
      </w:r>
    </w:p>
    <w:p>
      <w:r>
        <w:t>L’appelant conteste sa condamnation pour lésions corporelles simples qualifiées, mais sur la base d’un autre état de fait que celui retenu, à savoir qu’il ne serait pas établi que les marques de coups constatés sur le corps des enfants seraient en lien avec ses agissements, alors que tel est le cas ( supra consid. 4.2). Mal fondé, ce moyen doit dès lors être rejeté.</w:t>
      </w:r>
    </w:p>
    <w:p>
      <w:r>
        <w:rPr>
          <w:b/>
        </w:rPr>
        <w:t>E. 7</w:t>
      </w:r>
    </w:p>
    <w:p>
      <w:r>
        <w:t>L’appelante, qui conclut à son acquittement, ne conteste pas à titre subsidiaire la peine prononcée à son encontre. Celle-ci doit toutefois être vérifiée d’office.</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w:t>
      </w:r>
    </w:p>
    <w:p>
      <w:r>
        <w:rPr>
          <w:b/>
        </w:rPr>
        <w:t>E. 7.1.2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7.2</w:t>
      </w:r>
    </w:p>
    <w:p>
      <w:r>
        <w:t>Procédant à son examen d’office, la Cour de céans constate que la peine privative de liberté arrêtée à huit mois, par l’effet du concours, a été fixée selon les critères légaux. Compte tenu du risque de récidive et de l’importance des biens juridiquement protégés, seule une peine privative de liberté est en effet envisageable. Elle est toutefois particulièrement clémente compte tenu de la culpabilité de l’appelante, qualifiée à juste titre de lourde, et de l’appréciation des éléments à charge, tels qu’ils sont décrits en page 49 du jugement, laquelle peut être reprise ici par adoption de motifs (art. 82 al. 4 CPP). La peine prononcée sera cependant confirmée en raison du principe de l’interdiction de la reformatio in pejus . L’octroi du sursis et le délai d’épreuve de quatre ans ne prêtent pas le flanc à la critique et doivent être confirmés. Il en sera de même de la règle de conduite à forme d’une obligation faite à l’appelante de se soumettre à un traitement psychothérapeutique ambulatoire centre sur la gestion de l’impulsivité, celle-ci étant justifiée pour des motifs de prévention de la récidive.</w:t>
      </w:r>
    </w:p>
    <w:p>
      <w:r>
        <w:rPr>
          <w:b/>
        </w:rPr>
        <w:t>E. 8</w:t>
      </w:r>
    </w:p>
    <w:p>
      <w:r>
        <w:t>Au vu de ce qui précède, l’appel doit être rejeté et le jugement entrepris confirmé. Me Gaëtan-Charles Barraud, défenseur d’office d’A.Q.________, a produit une liste d’opérations dans laquelle il indique une activité nécessaire d’avocat de 16.50 heures, ce qui est adéquat, sous réserve de la durée de l’audience d’appel qui a été surévaluée et qui sera fixée à 45 minutes. C’est donc une durée totale de 15.25 heures qui sera retenue.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2’775 fr., auxquels s’ajoutent des débours forfaitaires de 2 % (art. 26b TFIP qui renvoie à l'art. 3 bis RAJ), par 55 fr. 50, une vacation à 120 fr. et la TVA sur le tout, au taux de 7,7%, par 227 fr. 20. L’indemnité de défenseur d’office pour la procédure d’appel sera dès lors fixée à 3'177 fr. 70 A cet égard, le chiffre III du dispositif communiqué aux parties contient une erreur de calcul manifeste en ce sens qu’il alloue à Me Gaëtan-Charles Barraud une indemnité moins élevée de 3’144 fr. 75. En application de l’art. 83 CPP, le dispositif sera dès lors rectifié d’office sur ce point. Me Coralie Germond, conseil juridique gratuit des enfants B.Q.________ et C.Q.________, a également produit une liste d’opérations Celle-ci fait état d’une activité nécessaire d’avocat de 6h00, dont il n’y a pas lieu de s’écarter, si ce n’est pour ajouter 45 minutes afin de tenir compte du temps consacré aux débats d’appel. C’est ainsi une durée de 6h45 qui sera retenue. Au tarif horaire de 180 fr., l’indemnité de conseil juridique gratuit sera dès lors fixée à 1'463 fr. 95, comprenant des honoraires, par 1’215 fr., auxquels s’ajoutent les débours forfaitaires, par 24 fr. 30, une vacation à 120 fr. et la TVA sur le tout, par 104 fr. 65. Vu l’issue de la cause, les frais de la procédure d'appel, par 7’461 fr. 65, comprenant l’émolument de jugement et d’audience, par 2’820 fr. (art. 21 al. 1 et 2 TFIP, et les indemnités dues au défenseur d’office, par 3'177 fr. 70, et au conseil juridique gratuit, par 1'463 fr. 95, seront mis à la charge d’A.Q.________, qui succombe (art. 428 al. 1 CPP). A.Q.________ sera tenue de rembourser à l’Etat le montant des indemnités en faveur de son défenseur d’office et du conseil juridique gratuit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