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413 vom 15. Juli 2022</w:t>
      </w:r>
    </w:p>
    <w:p>
      <w:r>
        <w:t>VD Tribunal cantonal, 2022-07-15, FR</w:t>
      </w:r>
    </w:p>
    <w:p>
      <w:r>
        <w:rPr>
          <w:b/>
        </w:rPr>
        <w:t xml:space="preserve">Quelle: </w:t>
      </w:r>
      <w:r>
        <w:t>https://mcp.opencaselaw.ch/entscheid/vd_findinfo_Jug___2022___413</w:t>
      </w:r>
    </w:p>
    <w:p>
      <w:r>
        <w:t>FR: VD_FINDINFO Jug / 2022 / 413 du 15 juillet 2022</w:t>
      </w:r>
    </w:p>
    <w:p>
      <w:r>
        <w:t>IT: VD_FINDINFO Jug / 2022 / 413 del 15 luglio 2022</w:t>
      </w:r>
    </w:p>
    <w:p>
      <w:pPr>
        <w:pStyle w:val="Heading2"/>
      </w:pPr>
      <w:r>
        <w:t>Regeste</w:t>
      </w:r>
    </w:p>
    <w:p>
      <w:r>
        <w:t>DÉTENTION POUR DES MOTIFS DE SÛRETÉ, RISQUE DE FUITE, MESURE DE SUBSTITUTION À LA DÉTENTION, SÛRETÉS | 221 al. 1 let. a CPP (CH), 237 CPP (CH), 238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Cette disposition réglemente la demande de mise en liberté du prévenu dont la détention pour des motifs de sûreté a été ordonnée par le tribunal de première instance ou par la juridiction d’appel (Moreillon/Parein-Reymond, Petit commentaire, Code de procédure pénale, 2e éd., Bâle 2016, n. 4 ad art. 233 CPP).</w:t>
      </w:r>
    </w:p>
    <w:p>
      <w:r>
        <w:rPr>
          <w:b/>
        </w:rPr>
        <w:t>E. 1.2</w:t>
      </w:r>
    </w:p>
    <w:p>
      <w:r>
        <w:t>En l’espèce, déposée à la suite d’une annonce puis d’une déclaration d'appel, la demande de libération présentée par T.________ est recevable.</w:t>
      </w:r>
    </w:p>
    <w:p>
      <w:r>
        <w:rPr>
          <w:b/>
        </w:rPr>
        <w:t>E. 2</w:t>
      </w:r>
    </w:p>
    <w:p>
      <w:r>
        <w:t>L’autorité investie de la direction de la procédure est le président du tribunal, respectivement le Président de la Cour de céans (art. 61 let. c CPP).</w:t>
      </w:r>
    </w:p>
    <w:p>
      <w:r>
        <w:rPr>
          <w:b/>
        </w:rPr>
        <w:t>E. 3.1</w:t>
      </w:r>
    </w:p>
    <w:p>
      <w:r>
        <w:t>T.________ conteste l’existence d’un risque de fuite. Il soutient qu’il aurait toujours été collaborant, que la durée de détention qui lui resterait à purger serait relativement faible, que, plaidant l’acquittement, son absence supprimerait toute crédibilité, que, citoyen suisse, il aurait toujours vécu à Genève, où vivent ses parents, ses sœurs, son frère et ses neveux, lesquels seraient très unis et soutenants, que ses parents seraient prêts à l’accueillir chez eux dès sa sortie de prison, que ses sœurs et son frère lui auraient témoigné leur soutien inconditionnel, qu’une fois libéré, l’EMS [...], à Genève, serait disposé à l’engager pour qu’il continue son service civil en tant qu’aide polyvalent hôtelier et qu’il aurait effectué des démarches pour avoir un suivi psychothérapeutique à sa sortie de prison.</w:t>
      </w:r>
    </w:p>
    <w:p>
      <w:r>
        <w:rPr>
          <w:b/>
        </w:rPr>
        <w:t>E. 3.2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Les hypothèses prévues par l'art. 221 al. 1 CPP sont alternatives et non cumulatives (TF 1B_242/2013 du 5 août 2013 consid. 3).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3.3</w:t>
      </w:r>
    </w:p>
    <w:p>
      <w:r>
        <w:t>En l’espèce, le prévenu a été condamné pour tentative de brigandage et brigandage qualifié à une peine privative de liberté de sept ans. Certes, comme les premiers juges l’ont relevé, il a des attaches solides en Suisse, soit ses parents et ses frère et sœurs. Toutefois, il est célibataire, sans enfant, et sa situation financière est particulièrement obérée. Il n’aurait dès lors pas grand chose à perdre de partir à l’étranger. En outre, avant son arrestation, il ne travaillait plus, vivait chez ses parents et était entretenu par ces derniers. Dans ces conditions, l’attestation produite par le requérant concernant son projet d’effectuer son service civil au sein de l’EMS [...] (P. 656/1/5/), n’est pas susceptible de diminuer le risque de fuite, pas plus que sa volonté d’avoir un suivi psychothérapeutique. Au vu de ce qui précède, il est probable que le prévenu préférera quitter notre pays qu'y demeurer, pour échapper à la sanction, si elle devait être confirmée. Le risque de fuite est désormais encore plus concret après la condamnation de l’intéressé en première instance qu’il ne l’était déjà auparavant. Par ailleurs, pour autant qu’il puisse en bénéficier, le prévenu doit encore purger près de deux ans avant une éventuelle libération conditionnelle. Cette durée n’est pas faible, contrairement à ce qu’il semble soutenir.</w:t>
      </w:r>
    </w:p>
    <w:p>
      <w:r>
        <w:rPr>
          <w:b/>
        </w:rPr>
        <w:t>E. 4.1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4.2</w:t>
      </w:r>
    </w:p>
    <w:p>
      <w:r>
        <w:t>En l'espèce, le requérant n’a de loin pas encore exécuté l’intégralité de la peine prononcée, de sorte que le principe de la proportionnalité demeure, en l’état, pleinement respecté, au vu de la gravité des faits qui lui sont reprochés.</w:t>
      </w:r>
    </w:p>
    <w:p>
      <w:r>
        <w:rPr>
          <w:b/>
        </w:rPr>
        <w:t>E. 5.1</w:t>
      </w:r>
    </w:p>
    <w:p>
      <w:r>
        <w:t>Le requérant soutient que des mesures de substitution, soit le versement d’une caution de 20'000 fr., le dépôt de son passeport et de sa carte d’identité, ainsi que l’obligation de se présenter régulièrement à un poste de police, supprimeraient le risque retenu.</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5.2.2</w:t>
      </w:r>
    </w:p>
    <w:p>
      <w:r>
        <w:t>Aux termes de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Cette disposition prévoit que le dépôt de sûretés ne peut être ordonné que pour pallier un danger de fuite (TF 1B_134/2022 du 19 avril 2022 consid. 4.5 et les références citées). La libération moyennant sûretés implique par ailleurs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 TF 1B_220/2020 du 26 mai 2020 consid. 5.1). Celui qui prétend à une libération sous caution doit ainsi fournir à l'autorité tous les éléments nécessaires pour évaluer le caractère dissuasif du montant proposé (TF 1B_439/2016 du 8 décembre 2016 consid. 2.2 ; TF 1B_393/2015 du 9 décembre 2015 consid. 2.3 ; TF 1B_455/2011 du 22 septembre 2011 consid. 3.3). Il convient également de faire preuve de prudence quant à l'origine des fonds proposés comme sûretés (TF 1B_508/2018 du 4 décembre 2018 consid. 3.2.1).</w:t>
      </w:r>
    </w:p>
    <w:p>
      <w:r>
        <w:rPr>
          <w:b/>
        </w:rPr>
        <w:t>E. 5.3</w:t>
      </w:r>
    </w:p>
    <w:p>
      <w:r>
        <w:t>En l'espèce, la mise en œuvre des mesures de substitution proposées n’est pas propre à pallier le risque retenu. Le dépôt de pièces d’identité ou l’obligation de se présenter régulièrement à un service administratif ne sont pas de nature à empêcher le recourant de quitter le territoire suisse pour un pays limitrophe ou de disparaître dans la clandestinité ou ne permettrait que de constater le risque de fuite postérieurement à sa réalisation. Quant au versement des sûretés par sa sœur, il ne permet pas de pallier efficacement le risque de fuite, dans la mesure où ce n’est pas le requérant lui-même qui procède au paiement et que l’on ne dispose pas, en l’état, des informations nécessaires pour procéder à un examen approfondi de la situation conforme à la jurisprudence. On ignore en particulier tout de la situation financière de la sœur du requérant.</w:t>
      </w:r>
    </w:p>
    <w:p>
      <w:r>
        <w:rPr>
          <w:b/>
        </w:rPr>
        <w:t>E. 6</w:t>
      </w:r>
    </w:p>
    <w:p>
      <w:r>
        <w:t>Au vu de ce qui précède, le maintien en détention de T.________ pour des motifs de sûreté est justifié et sa demande de mise en liberté immédiate, manifestement mal fondée, doit être rejetée, sans échange d’écritures (art. 390 al. 2 CPP). Les frais de procédure sont fixés à 1'170 fr. (art. 20 al. 1 TFIP [Tarif des frais de procédure et indemnités en matière pénale du 28 septembre 2010 ; BLV 312.03.1]). Vu le mémoire produit par Me Robert Assael, il sera retenu 3 heures d'activité d’avocat au tarif horaire de 180 fr. (art. 2 al. 1 let. a et 3 al. 2 RAJ [règlement sur l'assistance judiciaire en matière civile du 7 décembre 2010 ; BLV 211.02.3] par renvoi de l'art. 26b TFIP), soit 540 francs. S'y ajoutent 2 % pour les débours (art. 3bis al. 1 RAJ par renvoi de l'art. 26b TFIP) et 7,7 % pour la TVA, de sorte que l'indemnité d'office est arrêtée au total à 593 fr. 20. Les frais de procédure et les frais imputables à la défense d’office seront mis à la charge du requérant, qui succombe (art. 428 al. 1 CPP). Le remboursement à l’Etat de l’indemnité allouée au défenseur d’office ne sera exigible du requérant que pour autant que sa situation financière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