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398 vom 28. Oktober 2021</w:t>
      </w:r>
    </w:p>
    <w:p>
      <w:r>
        <w:t>VD Tribunal cantonal, 2021-10-28, FR</w:t>
      </w:r>
    </w:p>
    <w:p>
      <w:r>
        <w:rPr>
          <w:b/>
        </w:rPr>
        <w:t xml:space="preserve">Quelle: </w:t>
      </w:r>
      <w:r>
        <w:t>https://mcp.opencaselaw.ch/entscheid/vd_findinfo_Jug___2022___398</w:t>
      </w:r>
    </w:p>
    <w:p>
      <w:r>
        <w:t>FR: VD_FINDINFO Jug / 2022 / 398 du 28 octobre 2021</w:t>
      </w:r>
    </w:p>
    <w:p>
      <w:r>
        <w:t>IT: VD_FINDINFO Jug / 2022 / 398 del 28 ottobre 2021</w:t>
      </w:r>
    </w:p>
    <w:p>
      <w:pPr>
        <w:pStyle w:val="Heading2"/>
      </w:pPr>
      <w:r>
        <w:t>Regeste</w:t>
      </w:r>
    </w:p>
    <w:p>
      <w:r>
        <w:t>PROTECTION DU CLIMAT, MANIFESTATION, PRINCIPE DE LA CÉLÉRITÉ, JONCTION DE CAUSES, ENTRAVE AUX SERVICES D'INTÉRÊT GÉNÉRAL, EMPÊCHEMENT{EN GÉNÉRAL}, DROIT À LA LIBERTÉ, MOBILE | 10 CEDH, 11 CEDH, 239 CP, 286 CP, 48 let. a ch. 1 CP, 107 al. 2 LTF, 29 al. 1 CPP (CH), 30 CPP (CH), 5 CPP (CH)</w:t>
      </w:r>
    </w:p>
    <w:p>
      <w:pPr>
        <w:pStyle w:val="Heading2"/>
      </w:pPr>
      <w:r>
        <w:t>Erwägungen</w:t>
      </w:r>
    </w:p>
    <w:p>
      <w:r>
        <w:rPr>
          <w:b/>
        </w:rPr>
        <w:t>E. 1</w:t>
      </w:r>
    </w:p>
    <w:p>
      <w:r>
        <w:t>Interjeté dans les formes et délais légaux (art. 399 CPP), par un prévenu ayant qualité pour recourir (art. 382 al. 1 CPP) contre le jugement d’un tribunal de première instance qui a clos la procédure (art. 398 al. 1 CPP), l’appel de F.________ est recevable.</w:t>
      </w:r>
    </w:p>
    <w:p>
      <w:r>
        <w:rPr>
          <w:b/>
        </w:rPr>
        <w:t>E. 1.3</w:t>
      </w:r>
    </w:p>
    <w:p>
      <w:r>
        <w:t>p. 293). De la sorte, la cour cantonale devait admettre que le recourant remettait potentiellement en cause les faits (cf. ATF 139 IV 290 consid. 1.3 p. 293), et cela d'autant plus que l'état de fait retenu par le juge de première instance ne correspondait pas à ses déclarations (notamment en ce qui concernait l'opposition qu'il avait manifestée lors de l'évacuation des lieux par la police, ainsi que la connaissance et l'attitude des autorités). Dès lors, la cour cantonale était amenée à trancher des questions qui relevaient également des faits, et non exclusivement du droit. Elle avait donc violé l'art. 406 al. 1 let. a CPP en traitant en procédure écrite l'appel formé par le recourant. Celui-ci n'avait pour le surplus pas donné son accord à une procédure écrite, puisqu'il avait requis dans sa déclaration d'appel la tenue de débats publics ; l'application de l'art. 406 al. 2 CPP n'entrait donc pas en considération. Les griefs tirés de la violation de l'art. 406 CPP devaient en conséquence être admis, le jugement attaqué devait être annulé sur ce point et la cause renvoyée à la cour cantonale pour nouvelle instruction et nouveau jugement, étant précisé que des débats devraient être tenus. L'audience d'appel s'est tenue le 7 février 2023.</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non publié in ATF 136 IV 188).</w:t>
      </w:r>
    </w:p>
    <w:p>
      <w:r>
        <w:rPr>
          <w:b/>
        </w:rPr>
        <w:t>E. 3.2</w:t>
      </w:r>
    </w:p>
    <w:p>
      <w:r>
        <w:t>Dans son arrêt de renvoi, le Tribunal fédéral a constaté que l’appel de F.________ portait sur le jugement de première instance dans son ensemble. Ce dernier contestait notamment sa condamnation pour entrave aux services d'intérêt général, empêchement d'accomplir un acte officiel et violation simple des règles de la circulation routière et se réservait expressément le droit de compléter ultérieurement sa déclaration d'appel, ce qu'il était autorisé à faire (cf. ATF 139 IV 290 consid.</w:t>
      </w:r>
    </w:p>
    <w:p>
      <w:r>
        <w:rPr>
          <w:b/>
        </w:rPr>
        <w:t>E. 4</w:t>
      </w:r>
    </w:p>
    <w:p>
      <w:r>
        <w:t>A titre de mesure d’instruction, l’appelant requiert l’audition de quatre témoins, spécialistes dans divers domaines liés au dérèglement climatique, qui seraient en mesure d’apporter des éléments scientifiques attestant de l’urgence et de la gravité du problème. Ces auditions ne sont pas nécessaires dans la mesure où la réalité du dérèglement climatique est désormais reconnue. En effet, dans des récentes causes similaires, la cour de céans a déjà constaté que de nombreux rapports d’experts démontraient que les émissions de gaz à effet de serre provoquées par les activités humaines étaient à l’origine d’un réchauffement climatique mondial qui s’élevait actuellement à environ 1°C en moyenne par rapport à la période préindustrielle. Cette élévation de la température provoquait notamment une augmentation de l’intensité et de la fréquence de certains phénomènes climatiques et météorologiques extrêmes – tels que des vagues de chaleurs, des incendies de forêts ou des inondations pour ne citer que quelques exemples – et ces conséquences allaient considérablement s’aggraver si le réchauffement de la terre se poursuivait selon sa trajectoire actuelle. Il allait par ailleurs de soi que de tels phénomènes représentaient un danger pour les biens et l’intégrité, notamment physique, des individus qui y étaient exposés (CAPE 28 septembre 2020/130 consid. 5.3 ; CAPE 22 septembre 2020/371 consid. 6.3). La réquisition de preuves doit par conséquent être rejetée, dès lors que l’audition de témoins ou d’experts portent sur des faits notoires.</w:t>
      </w:r>
    </w:p>
    <w:p>
      <w:r>
        <w:rPr>
          <w:b/>
        </w:rPr>
        <w:t>E. 5.1</w:t>
      </w:r>
    </w:p>
    <w:p>
      <w:r>
        <w:t>L’appelant invoque la violation du principe de l’unité de la procédure. Il soutient que les autorités ne pouvaient pas disjoindre les procédures portant sur la manifestation du 20 septembre 2019, de sorte que son jugement devrait être annulé et renvoyé à l’autorité intimée pour nouvelle décision. A défaut, il sollicite à titre préalable la suspension de sa procédure d’appel pour permettre sa jonction avec l’ensemble des appels concernant la manifestation du 20 septembre 2019.</w:t>
      </w:r>
    </w:p>
    <w:p>
      <w:r>
        <w:rPr>
          <w:b/>
        </w:rPr>
        <w:t>E. 5.2</w:t>
      </w:r>
    </w:p>
    <w:p>
      <w:r>
        <w:t>Consacrant le principe dit de l’unité de la procédure, l’art. 29 al. 1 CPP prévoit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La disjonction peut également tendre à ne pas prolonger une détention provisoire déjà longue, aux fins d’instruire des délits nouveaux de moindre importance. S’agissant des infractions impliquant plusieurs auteurs ou participants, une exception au principe d’unité s’impose lorsque seuls certains participants sont en état d’être jugés, alors que d’autres sont par exemple en fuite (Bouverat, Commentaire romand, Code de procédure pénale suisse, 2e éd., Bâle 2019, n. 4 ad art. 30 CPP). En revanche, de simples motifs de commodité ne sauraient justifier une disjonction (Bouverat, op. cit.,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rPr>
          <w:b/>
        </w:rPr>
        <w:t>E. 5.3</w:t>
      </w:r>
    </w:p>
    <w:p>
      <w:r>
        <w:t>En l’espèce, comme indiqué par le Tribunal de police, certains des prévenus ont participé à d’autres manifestations, de sorte qu’une éventuelle identité des causes fait quoi qu’il en soit défaut. Le premier juge a également considéré, à juste titre, que le regroupement des nombreux prévenus – 104 selon le rapport d’investigation (P. 4, p. 5) – irait à l’encontre du principe d’économie et de célérité de la procédure (jugement, p. 5). A cela s’ajoute que, au stade de la procédure de deuxième instance, dans la mesure où tous les prévenus ne feront pas appel de leur jugement, il apparaît vain d’envisager une jonction de toutes les causes. Enfin, il ne s'agit pas d'une affaire où certains prévenus contesteraient leur participation et d'autres non. Le principe d’unité de la procédure n’est par conséquent pas violé.</w:t>
      </w:r>
    </w:p>
    <w:p>
      <w:r>
        <w:rPr>
          <w:b/>
        </w:rPr>
        <w:t>E. 6.1</w:t>
      </w:r>
    </w:p>
    <w:p>
      <w:r>
        <w:t>L’appelant soutient que son action s’inscrirait dans une démarche de protestation protégée par la liberté de manifester et les libertés de réunion et d’expression, de sorte qu’il ne saurait être sanctionné pénalement.</w:t>
      </w:r>
    </w:p>
    <w:p>
      <w:r>
        <w:rPr>
          <w:b/>
        </w:rPr>
        <w:t>E. 6.2.1</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6B_655/2022 précité consid. 4.2). L’art. 11 § 1 CEDH (en relation avec l’art. 10 CEDH), qui consacre notamment le droit de toute personne à la liberté de réunion et à la liberté d’association, offre des garanties comparables (ATF 132 I 256 précité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 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(ATF 136 IV 97 consid. 5.2.2 et les arrêts cités ; TF 1C_360/2019 du 15 janvier 2020 consid. 3.2).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lorsqu’il intervient à titre préventif (TF 1C_360/2019 précité consid. 3.2 ; TF 1C_9/2012 du 7 mai 2012 consid. 2.2, in ZBl 2013 p. 508 et RDAF 2014 I 284). La CourEDH estime que la protection offerte par l’art. 11 CEDH ne dépend pas de savoir si le rassemblement s’est déroulé conformément à la procédure prévue par le droit interne. Dans son arrêt de la CourEDH Bukta et autres c. Hongrie, la CourEDH a estimé que, dans des circonstances spéciales où il peut se justifier de réagir immédiatement, par exemple à un événement politique, par une manifestation pacifique, disperser celle-ci au motif que l’obligation de notification préalable n’a pas été respectée et sans que les participants se fussent comportés d’une manière contraire à la loi constituerait une restriction disproportionnée à la liberté de réunion pacifique. Puis, dans un arrêt de la CourEDH précité Bumbes c. Roumanie (le requérant, un activiste notoire impliqué dans diverses actions citoyennes, ainsi que trois autres personnes ont été condamnées à une amende pour s’être menottés à une barrière du parking bloquant l’accès au siège du gouvernement et avoir brandi des panneaux), la CourEDH a reproché aux juridictions nationales de ne pas avoir évalué le degré de perturbation que les actes de l’intéressé avaient éventuellement causé, de ne pas avoir cherché à ménager un équilibre entre les impératifs découlant des objectifs énumérés à l’art. 11 § 2, d’un côté, et ceux d’une libre expression par la parole, le geste ou même le silence des opinions de personnes réunies dans la rue ou en d’autres lieu publics, d’un autre côté, accordant ainsi un poids prépondérant à l’illégalité formelle de la manifestation en question, et en particulier, de ne pas avoir cherché à déterminer si, compte tenu du nombre de participants, pareille déclaration aurait servi l’objectif de permettre aux autorités de prendre les mesures nécessaires pour en garantir le bon déroulement. Cela étant, le système de déclaration préalable et le degré de tolérance dont les autorités publiques doivent faire preuve à l’égard des rassemblements pacifiques ne peuvent être étendus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règlementations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(arrêt de la CourEDH Navalnyy c. Russie du 15 novembre 2018, § 99 et 149 ss et les références citées). Il existe, en principe, sur la base de la liberté d’opinion, d’information et de réunion, un droit conditionnel à l’usage accru du domaine public pour des manifestations avec appel au public (ATF 144 I 50 consid. 6.3 ; ATF 138 I 274 consid. 2.2.2 ; ATF 132 I 256 précité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précité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précité consid. 3).</w:t>
      </w:r>
    </w:p>
    <w:p>
      <w:r>
        <w:rPr>
          <w:b/>
        </w:rPr>
        <w:t>E. 6.2.2</w:t>
      </w:r>
    </w:p>
    <w:p>
      <w:r>
        <w:t>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JdT 2005 IV 215).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précité, §§ 173-174 ; voir aussi Barraco c. France, §§ 46-47).</w:t>
      </w:r>
    </w:p>
    <w:p>
      <w:r>
        <w:rPr>
          <w:b/>
        </w:rPr>
        <w:t>E. 6.3</w:t>
      </w:r>
    </w:p>
    <w:p>
      <w:r>
        <w:t>En l’espèce, il est établi que, lors de la manifestation du 20 septembre 2019, les manifestants, dont l’appelant faisait partie, ont occupé de manière exclusive des voies de communication importantes du domaine public en plein centre de la ville de Lausanne, provoquant en particulier la paralysie des services de transport public empruntant les axes en question. Il n’est pas contesté que ce sont plusieurs centaines d’usagers, pour le moins, qui ont été entravés dans leurs déplacements. L’occupation sans autorisation de ces voies de communication visait indiscutablement à provoquer des perturbations importantes. Dans ces conditions, l’appelant n’est pas fondé à se prévaloir des art. 10 et 11 CEDH et des libertés qu’ils consacrent. Il n’a pas été question de disperser la manifestation pour le seul motif que l’obligation de notification préalable n’avait pas été respectée, mais bien parce que la durée de la manifestation et le comportement des participants nécessitaient que l’ordre public soit rétabli, dans l’intérêt bien compris des citoyens qui, eux, ne manifestaient pas. On relève, en particulier, que les forces de l’ordre ne sont intervenues qu’après que les manifestants ont pu se réunir et s’exprimer pendant de nombreuses heures. C’est ainsi à bon droit que les autorités ont finalement dispersé les manifestants afin de restaurer l’usage normal du domaine public, procédant à l’évacuation des manifestants de manière proportionnée, sans aucun usage excessif de la force : les droits constitutionnels invoqués par l’appelante ne l’autorisaient ni à entraver l’usage du domaine public ni à s’opposer à l’évacuation des lieux par la police. En effet, l’appelant a voulu mener une action perturbatrice, ce qui n’est pas protégé, d’autant qu’il ne s’agissait pas de réagir immédiatement à un événement politique, mais plutôt de mener un combat de longue haleine. Autrement dit, à l’évidence, l’action menée par l’appelant n’était pas indispensable pour faire valoir sa liberté de réunion et d’expression. Quoi qu’il en dise, en s’appropriant une partie du domaine public pour bloquer la circulation au centre de la ville de Lausanne, l’appelant a adopté un comportement actif visant à exercer délibérément une contrainte sur la population non-manifestante, sans égard aux conséquences qui pouvaient en résulter.</w:t>
      </w:r>
    </w:p>
    <w:p>
      <w:r>
        <w:rPr>
          <w:b/>
        </w:rPr>
        <w:t>E. 7.1</w:t>
      </w:r>
    </w:p>
    <w:p>
      <w:r>
        <w:t>L’appelant invoque une violation de l’art. 239 CP. Il plaide que le fait que les autorités ignoraient quel pont allait être bloqué ne ressortirait de nulle pièce, qu’il n’y aurait pas eu de trouble, que la police aurait été prête, et que tout avait été préparé en amont, en particulier la déviation du trafic, de sorte qu’il n’y aurait pas eu de perturbations importantes réalisant la condition d’une entrave qualifiée au sens de la norme pénale concernée. En outre, quand bien même il y aurait eu une entrave, elle aurait été commise par un véhicule et deux remorques et non par l’appelant, qui serait arrivé à la manifestation lorsque le pont était déjà bloqué. Enfin, dans la mesure où il ne serait pas établi qu’il se situait sur la route, et non sur le trottoir, aucune entrave ne saurait lui être reprochée.</w:t>
      </w:r>
    </w:p>
    <w:p>
      <w:r>
        <w:rPr>
          <w:b/>
        </w:rPr>
        <w:t>E. 7.2</w:t>
      </w:r>
    </w:p>
    <w:p>
      <w:r>
        <w:t>Aux termes de l’art 239 CP, celui qui, intentionnellement, aura empêché, troublé ou mis en danger l’exploitation d’une entreprise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 en droit suisse, vol. II, 3e éd., Berne 2010, n. 6 ad art. 239 CP ; Dupuis et al., Petit commentaire du Code pénal, 2e éd., Bâle 2017, n. 5 ad art. 239 CP). La loi mentionne à titre d’exemple l’entreprise de chemin de fer, ainsi que celle des postes par le réseau de bus postaux. Il faut également ajouter les entreprises de transport par métro, tram, bus, bateau, avion et téléphérique (ATF 85 IV 224 consid. III/2, JdT 1960 IV 51 ; Dupuis et al., op. cit., n. 5 ad. art. 239 CP). Par ailleurs, la perturbation d’exploitation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115 IV 44 consid. 2d). En revanche, l’art. 239 CP ne s’applique pas en cas de retard de quinze minutes d’un train régional (ATF 119 IV 301).</w:t>
      </w:r>
    </w:p>
    <w:p>
      <w:r>
        <w:rPr>
          <w:b/>
        </w:rPr>
        <w:t>E. 7.3</w:t>
      </w:r>
    </w:p>
    <w:p>
      <w:r>
        <w:t>En l’espèce, les autorités de la ville de Lausanne savaient que le collectif XR avait planifié une action de blocage le 20 septembre 2019.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Ainsi, au Pont Bessières, ce n’est qu’au moment où les remorques ont été installées sur le pont et que les activistes sont arrivés en nombre à cet endroit que les autorités ont pu déterminer le lieu choisi. En d’autres termes, les autorités ont été prises au dépourvu et mises devant le fait accompli lors de cette manifestation. Le pont Bessières a été bloqué dès 11h25, ce qui a créé un report de circulation conséquent sur les artères attenantes. La police a dû organiser une déviation du trafic. Ce n'est qu'à 19h55 que le pont Bessières a été entièrement évacué et qu’il a été rendu à la circulation après un nettoyage des services communaux. Le blocage de ce pont a ainsi duré 8h30. Lors de la manifestation litigieuse, la circulation des transports publics a été sérieusement entravée. Les bus de la ligne no 16 n’ont plus été en mesure de circuler sur l’axe en question. De surcroît, dans un contexte urbain, les déviations mises en place d’urgence ont de toute évidence entraîné des retards en cascade sur tout le réseau des transports publics lausannois, le Pont Bessières étant un point névralgique de cette agglomération. Le rapport de police établi après la manifestation du 20 septembre 2019 relève d’ailleurs expressément que le blocage du pont a créé un report de circulation conséquent sur les artères attenantes. Dans ces conditions, les faits reprochés à F.________, qui admet avoir participé à la manifestation du 20 septembre 2019 sur le pont Bessières pendant plusieurs heures, constituent précisément une entrave à un service d’intérêt général au sens de l’art. 239 CP, le trafic ayant été longuement interrompu. En outre, lors des débats de première instance, l’appelant a déclaré que, si une ambulance s’était présentée, il se serait retiré pour la laisser passer (jugement, p. 10), ce qui laisse supposer qu'il n'était pas sur le trottoir. De toute manière, cet argument n'est pas pertinent, puisque l'appelant a admis avoir participé volontairement à la manifestation. Il faisait donc partie intégrante de l'attroupement qui a bloqué le pont en question pendant plusieurs heures et n'était pas simple spectateur passif. Enfin, l’élément subjectif est également réalisé, puisque l’appelant s’est, dans l’hypothèse la plus favorable, accommodé de cette situation, de sorte qu’il a agi à tout le moins par dol éventuel. Les conditions d’application de l'art. 239 CP étant réalisées, la condamnation de F.________ pour l’infraction d’entrave aux services d’intérêt général doit être confirmée.</w:t>
      </w:r>
    </w:p>
    <w:p>
      <w:r>
        <w:rPr>
          <w:b/>
        </w:rPr>
        <w:t>E. 8.1</w:t>
      </w:r>
    </w:p>
    <w:p>
      <w:r>
        <w:t>L’appelant conteste l’appréciation juridique du Tribunal de police selon laquelle les art. 239 ch. 1 CP (entrave aux services d’intérêt général) et 90 al. 1 LCR (violation simple des règles de la circulation routière) entrent en concours idéal. Il considère que ces dispositions entrent en concours imparfait, puisqu’elles protègent toutes deux le trouble occasionné aux passages des transports publics et à la circulation routière et qu’en troublant l’exploitation des transports publics, on trouble forcément la circulation routière. L’art. 239 ch. 1 CP absorbant ainsi l’art. 90 al. 1 LCR, il devrait être libéré du chef d’infraction de violation simple des règles de la circulation routière.</w:t>
      </w:r>
    </w:p>
    <w:p>
      <w:r>
        <w:rPr>
          <w:b/>
        </w:rPr>
        <w:t>E. 8.2</w:t>
      </w:r>
    </w:p>
    <w:p>
      <w:r>
        <w:t>Le concours idéal (art. 49 al. 1 CP) se distingue du concours imparfait qui échappe au champ d’application de l’art. 49 al. 1 CP. On parle de concours imparfait lorsqu’une seule disposition pénale s’applique, laquelle exclut l’application d’une ou de plusieurs autres dispositions, soit en raison de sa spécialité, soit par absorption, soit encore en raison de la subsidiarité d’autres dispositions pénales (Petit Commentaire du Code pénal, 2e éd., Bâle 2017, n. 18 ad art. 49 CP ; Favre/Pellet/Stoudmann, Code pénal annoté, 3e éd., Lausanne 2007/2011, n. 1.12 ad art. 49 CP). L'art. 239 CP, qui sanctionne l'entrave aux services d'intérêt général, protège l'intérêt public à ce que certaines entreprises fournissent leurs services sans perturbation (ATF 116 IV 44 consid. 2a ; ATF 85 IV 224 consid. III.2 ; ATF 72 IV 68).</w:t>
      </w:r>
    </w:p>
    <w:p>
      <w:r>
        <w:rPr>
          <w:b/>
        </w:rPr>
        <w:t>E. 8.3</w:t>
      </w:r>
    </w:p>
    <w:p>
      <w:r>
        <w:t>En l’espèce, les biens juridiquement protégés des art. 239 ch. 1 CP et 90 al. 1 LCR sont distincts, à savoir l’intérêt de la collectivité au bon fonctionnement du service public pour le premier et la sécurité routière pour le second. Cela justifie l’application d’un concours idéal pour ces deux infractions (CAPE 17 juin 2021/185 consid. 6.1.3). Le grief de l’appelant est donc infondé.</w:t>
      </w:r>
    </w:p>
    <w:p>
      <w:r>
        <w:rPr>
          <w:b/>
        </w:rPr>
        <w:t>E. 9.1</w:t>
      </w:r>
    </w:p>
    <w:p>
      <w:r>
        <w:t>L'appelant conteste aussi sa condamnation pour empêchement d’accomplir un acte officiel.</w:t>
      </w:r>
    </w:p>
    <w:p>
      <w:r>
        <w:rPr>
          <w:b/>
        </w:rPr>
        <w:t>E. 9.2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et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 Imposer sa présence dans une salle pour empêcher une autorité d'y tenir séance constitue, par une action, une opposition aux actes de l'autorité (ATF 107 IV 113 consid. 4 ; TF 6B_333/2011 du 27 octobre 2011 consid. 2.2.1).</w:t>
      </w:r>
    </w:p>
    <w:p>
      <w:r>
        <w:rPr>
          <w:b/>
        </w:rPr>
        <w:t>E. 9.3</w:t>
      </w:r>
    </w:p>
    <w:p>
      <w:r>
        <w:t>En l'espèce, une opposition active doit être reprochée à l’appelant lors de son évacuation pour la manifestation du 20 septembre 2019. Il a en effet admis ne pas avoir obtempéré aux sommations d’évacuation de la police et avoir dû être évacué par la police, sans toutefois se débattre, respectivement avoir passivement résisté. Il a dû être porté par les policiers. Dans la mesure où l’appelant n’a pas obtempéré ni suivi la police de son plein gré, il a exercé une opposition active à l’égard des policiers chargés de son évacuation. Sa condamnation pour empêchement d’accomplir un acte officiel doit donc être confirmée.</w:t>
      </w:r>
    </w:p>
    <w:p>
      <w:r>
        <w:rPr>
          <w:b/>
        </w:rPr>
        <w:t>E. 10.1</w:t>
      </w:r>
    </w:p>
    <w:p>
      <w:r>
        <w:t>L'appelant plaide l’exemption de peine, faisant valoir qu’il aurait agi en cédant à un mobile honorable.</w:t>
      </w:r>
    </w:p>
    <w:p>
      <w:r>
        <w:rPr>
          <w:b/>
        </w:rPr>
        <w:t>E. 10.2</w:t>
      </w:r>
    </w:p>
    <w:p>
      <w:r>
        <w:t>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précité et les références citées ; TF 6B_713/2018 du 21 novembre 2018 consid. 5.4). Lorsque le mobile honorable est sans aucun rapport avec l’infraction, il ne se justifie pas d’atténuer la peine (ATF 118 IV 74 consid. 2a, JdT 1994 IV 89 ; ATF 115 IV 65 consid. 2b, JdT 1990 IV 69).</w:t>
      </w:r>
    </w:p>
    <w:p>
      <w:r>
        <w:rPr>
          <w:b/>
        </w:rPr>
        <w:t>E. 10.3</w:t>
      </w:r>
    </w:p>
    <w:p>
      <w:r>
        <w:t>Il peut être donné acte à l'appelant qu'il a assurément agi pour défendre une cause idéale. Cela étant,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militants s’y emploient (CAPE 11 novembre 2022/359 précité consid. 15.3.1 ; CAPE 28 septembre 2022/302 précité consid. 12.2 ; CAPE 17 juin 2021/185 précité consid. 6.1.3.1). En effet, pour pouvoir user de son droit de réunion et d’expression, nul n’était besoin pour l'appelant de commettre les infractions qui lui sont reprochées. Le blocage des voies de communication n’est pas un comportement anodin, surtout lorsqu’elles sont aussi fréquentées, et il ne saurait suffire de se réclamer d’un idéal pour s’affranchir des conséquences qui peuvent en résulter pour les nombreux usagers et les services d’urgence qui les ont subis. En l’occurrence, la manière avec laquelle l'appelant a mené les actions qui lui sont reprochées relègue au second plan les valeurs morales dont il se revendique, ce qui exclut de retenir la circonstance atténuante du mobile honorable prévue par l’art. 48 let. a ch. 1 CP (CAPE 11 novembre 2022/359 précité ; CAPE 3 novembre 2022/225 précité ; CAPE 17 juin 2021/185 précité). Ce moyen doit donc être rejeté.</w:t>
      </w:r>
    </w:p>
    <w:p>
      <w:r>
        <w:rPr>
          <w:b/>
        </w:rPr>
        <w:t>E. 11.1</w:t>
      </w:r>
    </w:p>
    <w:p>
      <w:r>
        <w:t>L’appelant invoque la violation du principe de célérité, car il s’est écoulé près de 20 mois entre la réception du dossier par le greffe pénal de première instance et la fixation de l’audience.</w:t>
      </w:r>
    </w:p>
    <w:p>
      <w:r>
        <w:rPr>
          <w:b/>
        </w:rPr>
        <w:t>E. 11.2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La violation du principe de célérité peut avoir pour conséquence la diminution de la peine, parfois l'exemption de toute peine ou encore une ordonnance de classement en tant qu'ultima ratio dans les cas les plus extrêmes (ATF 143 IV 373 précité consid. 1.4.1 ; ATF 135 IV 12 consid 3.6 ; TF 6B_203/2019 du 10 avril 2019 consid. 3.1). Il incombe au juge d'indiquer comment et dans quelle mesure il a tenu compte de cette circonstance (ATF 117 IV 124 consid. 3 et 4 ; TF 6B_556/2017 du 15 mars 2018 consid. 3.1 ; TF 6B_790/2017 du 18 décembre 2017 consid. 2.3.2 ; TF 6B_728/2010 du 1er mars 2011 consid. 5.5.1 ; TF 6B_908/2009 du 3 novembre 2010 consid.</w:t>
      </w:r>
    </w:p>
    <w:p>
      <w:r>
        <w:rPr>
          <w:b/>
        </w:rPr>
        <w:t>E. 11.3</w:t>
      </w:r>
    </w:p>
    <w:p>
      <w:r>
        <w:t>Le Tribunal de police a reçu le dossier de la cause le 17 février 2020 et les débats ont été fixés le 2 septembre 2021, soit effectivement près de 19 mois plus tard. Cette situation s’explique par le fait que ce tribunal d’arrondissement a reçu près de 180 causes analogues présentant des questions juridiques complexes concernant l’état de nécessité et les droits constitutionnels des manifestants. Ces causes devant être traitées de manière identique sur un plan juridique, elles ont attendu le premier arrêt de principe du Tribunal fédéral rendu le 26 mai 2021 (ATF 147 IV 297). Ensuite, des décisions d’organisation ont été prises pour traiter les nombreuses requêtes de jonction des prévenus et la manière dont il fallait regrouper certaines causes, par manifestation. Ainsi, l’attente était justifiée et il n’y a pas eu de violation du principe de célérité. Quoi qu’il en soit, même si le laps de temps qui s’est écoulé entre la saisine du tribunal et l’ouverture des débats de première instance est excessif, cela ne saurait toutefois conduire à une réduction de peine. En effet, l’entrave aux services d’intérêt général, qui constitue l’infraction de base, aurait dû être punie d’une peine pécuniaire de 20 jours-amende, puis augmentée, par l’effet du concours (art. 49 al. 1 CP), de 10 jours-amende pour l’empêchement d’accomplir un acte officiel. La peine pécuniaire de 15 jours-amende prononcée en première instance tient donc en réalité déjà compte de la violation du principe de célérité, soit d’une réduction de peine de 50 %.</w:t>
      </w:r>
    </w:p>
    <w:p>
      <w:r>
        <w:rPr>
          <w:b/>
        </w:rPr>
        <w:t>E. 12</w:t>
      </w:r>
    </w:p>
    <w:p>
      <w:r>
        <w:t>La condamnation de l’appelant ayant été confirmée, il convient de rejeter sa conclusion tendant à sa libération des frais de première instance. Pour le même motif, il convient de rejeter sa conclusion tendant à l'octroi d'une indemnité de l'art. 429 al. 1 let. a CPP pour les frais occasionnés par l'exercice de ses droits de procédure en première instance.</w:t>
      </w:r>
    </w:p>
    <w:p>
      <w:r>
        <w:rPr>
          <w:b/>
        </w:rPr>
        <w:t>E. 13</w:t>
      </w:r>
    </w:p>
    <w:p>
      <w:r>
        <w:t>En définitive, l’appel de F.________ doit être rejeté et le jugement attaqué confirmé. Les frais d’appel antérieurs à l’arrêt du Tribunal fédéral du 16 août 2022, constitués de l’émolument du jugement du 31 janvier 2022, par 1'540 fr., seront laissés à la charge de l'Etat. Vu l’issue de la cause, les frais d'appel postérieurs à l'arrêt du Tribunal fédéral, constitués en l’espèce de l’émolument de jugement et d’audience, par 2'930 fr. (art. 21 al. 1 TFIP [Tarif des frais de procédure et indemnités en matière pénale du 28 septembre 2010 ; BLV 312.03.1), seront mis à la charge de l’appelant, qui succombe (art. 428 al. 1 CPP). Vu la confirmation de sa condamnation, aucune indemnité au sens de l’art. 429 CPP ne sera allouée à l’appelant pour ses frais de défense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