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385 vom 23. Mai 2022</w:t>
      </w:r>
    </w:p>
    <w:p>
      <w:r>
        <w:t>VD Tribunal cantonal, 2022-05-23, FR</w:t>
      </w:r>
    </w:p>
    <w:p>
      <w:r>
        <w:rPr>
          <w:b/>
        </w:rPr>
        <w:t xml:space="preserve">Quelle: </w:t>
      </w:r>
      <w:r>
        <w:t>https://mcp.opencaselaw.ch/entscheid/vd_findinfo_Jug___2022___385</w:t>
      </w:r>
    </w:p>
    <w:p>
      <w:r>
        <w:t>FR: VD_FINDINFO Jug / 2022 / 385 du 23 mai 2022</w:t>
      </w:r>
    </w:p>
    <w:p>
      <w:r>
        <w:t>IT: VD_FINDINFO Jug / 2022 / 385 del 23 maggio 2022</w:t>
      </w:r>
    </w:p>
    <w:p>
      <w:pPr>
        <w:pStyle w:val="Heading2"/>
      </w:pPr>
      <w:r>
        <w:t>Regeste</w:t>
      </w:r>
    </w:p>
    <w:p>
      <w:r>
        <w:t>DÉLIT MANQUÉ, MEURTRE, MEURTRE PASSIONNEL, CONTRAINTE{DROIT PÉNAL}, EXPULSION{DROIT PÉNAL} | 113 CP, 22 ad 111 CP, 22 ad 181 CP, 41 CP, 66a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A.U.________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appréciation erronée des faits, l’appelant conteste sa condamnation pour tentative de meurtre. Il reconnaît avoir eu conscience que les blessures infligées à son épouse pouvaient potentiellement entraîner son décès, mais conteste avoir eu l’intention de la tuer, en précisant s’être rendu à la police, non pas pour signaler le décès de son épouse et se dénoncer, mais pour chercher de l’aide.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3.1.2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CR CPP, op. cit., n. 34 ad art. 10 CPP).</w:t>
      </w:r>
    </w:p>
    <w:p>
      <w:r>
        <w:rPr>
          <w:b/>
        </w:rPr>
        <w:t>E. 3.2</w:t>
      </w:r>
    </w:p>
    <w:p>
      <w:r>
        <w:t>Aux termes de l'art. 111 CP, celui qui aura intentionnellement tué une personne sera puni d'une peine privative de liberté de cinq ans au moins, en tant que les conditions prévues aux art. 112 à 117 CP ne seront pas réalisées.</w:t>
      </w:r>
    </w:p>
    <w:p>
      <w:r>
        <w:rPr>
          <w:b/>
        </w:rPr>
        <w:t>E. 3.2.1</w:t>
      </w:r>
    </w:p>
    <w:p>
      <w:r>
        <w:t>Selon l'art. 12 al. 2 CP,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(ATF 137 IV 1 consid. 4.2.3 ; ATF 135 IV 152 consid. 2.3.2 ; TF 6B_418/2021 du 7 avril 2022 consid. 3.2.1).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133 IV 222 consid. 5.3 ; ATF 119 IV 1 consid. 5a ; TF 6B_366/2020 du 17 novembre 2020 consid. 3.1.1). De la conscience de l'auteur, le juge peut déduire sa volonté, lorsque la probabilité de la survenance du résultat s'imposait tellement à lui que sa disposition à en accepter les conséquences ne peut raisonnablement être interprétée que comme son acceptation (ATF 133 IV 9 consid. 4.1 ; ATF 130 IV 58 consid. 8.4 ; TF 6B_366/2020 précité).</w:t>
      </w:r>
    </w:p>
    <w:p>
      <w:r>
        <w:rPr>
          <w:b/>
        </w:rPr>
        <w:t>E. 3.2.2</w:t>
      </w:r>
    </w:p>
    <w:p>
      <w:r>
        <w:t>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rPr>
          <w:b/>
        </w:rPr>
        <w:t>E. 3.3</w:t>
      </w:r>
    </w:p>
    <w:p>
      <w:r>
        <w:t>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w:t>
      </w:r>
    </w:p>
    <w:p>
      <w:r>
        <w:rPr>
          <w:b/>
        </w:rPr>
        <w:t>E. 3.4.1</w:t>
      </w:r>
    </w:p>
    <w:p>
      <w:r>
        <w:t>En l’espèce, A.U.________ ne conteste pas que l’étranglement de son épouse, pendant plusieurs minutes, puis le fait de l’avoir laissée inconsciente et seule au domicile conjugal, étaient objectivement propre à causer sa mort. Cela peut en effet être déduit sans ambiguïté des constats médicaux au dossier, lesquels attestent notamment de la présence de pétéchies au visage, de multiples fractures et de lacérations hépatiques. L’intimée n’a d’ailleurs survécu que parce qu’elle est parvenue à quitter les lieux au moment de reprendre connaissance, avant de s’effondrer en pleine rue (cf. P. 47).</w:t>
      </w:r>
    </w:p>
    <w:p>
      <w:r>
        <w:rPr>
          <w:b/>
        </w:rPr>
        <w:t>E. 3.4.2</w:t>
      </w:r>
    </w:p>
    <w:p>
      <w:r>
        <w:t>;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w:t>
      </w:r>
    </w:p>
    <w:p>
      <w:r>
        <w:rPr>
          <w:b/>
        </w:rPr>
        <w:t>E. 3.4.3</w:t>
      </w:r>
    </w:p>
    <w:p>
      <w:r>
        <w:t>Face à ces circonstances accablantes, l’appelant se borne à faire valoir, de manière peu crédible au vu des éléments énumérés ci-dessus, qu’il se serait rendu à la police non pas pour signaler le décès de son épouse, ni pour se dénoncer, mais uniquement pour chercher de l’aide, ne connaissant pas le numéro des secours compte tenu de son analphabétisme, ni n’étant au demeurant en mesure d’expliquer ce qui s’était passé, autrement que par des mimes, au regard de sa méconnaissance de la langue française. On comprend toutefois mal pourquoi, pour trouver du secours, l’appelant n’avait pas plutôt cherché à contacter des voisins, alors qu’un couple d’amis vivait dans le même immeuble, ou des passants, au lieu de laisser son épouse inconsciente, seule dans l’appartement, pour s’engager dans un parcours à vélo à travers [...] jusqu’au poste de police situé à environ 1,2 km de son domicile, au minimum. Il n’y a du reste pas lieu de remettre en cause les constatations policières, figurant dans le rapport d’investigation (cf. P. 5, p. 4), selon lesquelles l’appelant s’était présenté à la réception du poste de police en indiquant qu’il avait tué son épouse et qu’il souhaitait se rendre, sans qu’il soit au surplus fait état d’une quelconque volonté de l’appelant de faire venir des secours.</w:t>
      </w:r>
    </w:p>
    <w:p>
      <w:r>
        <w:rPr>
          <w:b/>
        </w:rPr>
        <w:t>E. 4</w:t>
      </w:r>
    </w:p>
    <w:p>
      <w:r>
        <w:t>A titre subsidiaire, l’appelant demande à être condamné pour tentative de meurtre passionnel au sens de l’art. 113 CP.</w:t>
      </w:r>
    </w:p>
    <w:p>
      <w:r>
        <w:rPr>
          <w:b/>
        </w:rPr>
        <w:t>E. 4.1</w:t>
      </w:r>
    </w:p>
    <w:p>
      <w:r>
        <w:t>Le meurtre passionnel (art. 113 CP)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 (ATF 119 IV 202 consid. 2a ; TF 6B_600/2014 du 23 janvier 2015 consid. 3.1 non publié in ATF 141 IV 61).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(ATF 119 IV 202 consid. 2a ; TF 6B_600/2014 précité consid. 3.1.1). 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(ATF 119 IV 202 consid. 2a ; ATF 118 IV 233 consid. 2a). Ce n’est pas l’acte commis qui doit être excusable, mais l’état dans lequel se trouvait l’auteur (ATF 119 IV 202 consid. 2a ; ATF 108 IV 101 consid. 3a ; TF 6B_734/2021 du 23 février 2022 consid. 1.1 ; TF 6B_600/2014 précité consid. 3.1.2).</w:t>
      </w:r>
    </w:p>
    <w:p>
      <w:r>
        <w:rPr>
          <w:b/>
        </w:rPr>
        <w:t>E. 4.2.1</w:t>
      </w:r>
    </w:p>
    <w:p>
      <w:r>
        <w:t>L’appelant se prévaut en premier lieu d’avoir été pris d’une émotion violente au moment des faits, se disant avoir été saisi d’un accès de rage lorsqu’il avait appris que son épouse entretenait une relation extraconjugale. Il a expliqué en cours de procédure qu’au moment de s’en prendre à cette dernière, il s’était trouvé dans un état second, que tout était « noir » dans sa tête et que le « diable était venu dans son cœur » (PV audition 2, R. 9 et 24 ; PV audition 3, ll. 94-107). Comme l’ont retenu les premiers juges, les propos qui précèdent doivent être nuancés par le fait que l’appelant ne s’en est pas pris immédiatement à son épouse après avoir compris qu’elle avait eu une relation sexuelle avec un autre homme. En effet, il a tout d’abord pris le temps d’écouter discrètement la conversation téléphonique, l’a ensuite interrompue, a suivi son épouse au salon et a entamé une discussion avec elle pour obtenir des explications, ce qui ressort tant de ses déclarations en cours d’instruction (PV audition 2, R. 5) que de celles de la victime (PV audition 1, R. 6). Il apparaît ainsi que ce n’est que dans un second temps que l’appelant a saisi son épouse au cou et l’a étranglée, ce qui est déjà en soi propre à compromettre le fait qu’il aurait agi alors qu’il était mû par une émotion violente, les circonstances dénotant au contraire que l’appelant était en mesure de se contrôler. On relèvera d’ailleurs que les experts psychiatres ont considéré que la responsabilité pénale de l’appelant était entière au moment des faits. Il était ainsi capable d’apprécier le caractère illicite de ses actes et, surtout, de se déterminer d’après son appréciation. Les experts ont également retenu que l’appelant n’était pas passé à l’acte de manière impulsive lorsque, le jour des faits, il avait appris l’adultère de sa femme (P. 76, pp. 16-17). Ces éléments confirment également que l’appelant n’était pas en proie à une émotion violente au sens de l’art. 113 CP. A tout le moins, il faut considérer, à l’instar du Tribunal criminel, que l’émotion violente par laquelle l’appelant affirme avoir agi n’est aucunement excusable. Cela faisait en effet plusieurs années que son mariage battait de l’aile et que son épouse lui avait signifié sa volonté de divorcer. Les époux faisaient ainsi chambre à part depuis deux mois et l’appelant avait demandé à l’EVAM à pouvoir bénéficier d’un appartement pour lui tout seul, soupçonnant depuis plusieurs mois son épouse de le tromper, elle-même étant terrorisée à l’idée que son mari apprenne sa liaison. L’appelant avait par ailleurs mis en œuvre de nombreux moyens de pression pour dissuader son épouse de se séparer de lui, faits pour lesquels il a d’ailleurs été reconnu coupable de tentative de contrainte, ce point n’étant pas contesté dans le cadre du présent appel. Il l’avait ainsi déjà menacée de mort si elle entendait fréquenter d’autres hommes (cf. jgt, pp. 23 à 25). Aussi, avec les premiers juges, il doit être constaté que, par son comportement tout au long du mariage et dans les mois qui ont précédé les faits, l’appelant a grandement contribué à créer la situation qui a provoqué chez lui l’état dont il se prévaut, ce qui exclut tout émotion violente excusable.</w:t>
      </w:r>
    </w:p>
    <w:p>
      <w:r>
        <w:rPr>
          <w:b/>
        </w:rPr>
        <w:t>E. 4.2.2</w:t>
      </w:r>
    </w:p>
    <w:p>
      <w:r>
        <w:t>Le recourant soutient encore s’être trouvé dans un état de profond désarroi au moment des faits. Il prétend qu’il faudrait tenir compte dans ce contexte de sa conception très élevée de l’honneur et de la famille. A cet égard, il se réfère à une jurisprudence bâloise datant de près de 40 ans, citée par la doctrine (cf. Favre et al., Code pénal annoté, Lausanne 2011, n. 1.5 ad art. 113 CP), par laquelle le meurtre passionnel avait été retenu à l’égard d’un Italien du sud qui avait agi après avoir découvert les affaires d’un autre homme lors de sa visite au domicile conjugal, l’amenant ainsi à prendre conscience brutalement de la réalité de sa situation conjugale. Néanmoins, au regard des circonstances décrites ci-dessus, en particulier compte tenu du lourd passé de violences infligées à son épouse, c’est en vain que l’appelant se prévaut d’être lui aussi issu d’une communauté où l’honneur occupe une place prépondérante, de telles considérations n’ayant en particulier pas leur place lorsque, comme en l’espèce, l’auteur avait déjà fait part de sa volonté de tuer, si ses soupçons d’adultère se confirmaient, dans le cadre de menaces de mort proférées à plusieurs reprises dans les semaines et mois précédant l’acte. Les circonstances permettent pour le reste de se convaincre que l’appelant n’a pas agi en raison du chagrin dû à la perte d’une relation de couple, mais bien par pur égocentrisme, ne supportant pas que sa femme lui échappe. Partant, on ne saurait considérer que l’appelant était dans un état de profond désarroi au moment des faits. Il résulte de ce qui précède (cf. supra consid. 3 et 4) que la condamnation pour tentative de meurtre au sens de l’art. 111 CP doit être confirmée.</w:t>
      </w:r>
    </w:p>
    <w:p>
      <w:r>
        <w:rPr>
          <w:b/>
        </w:rPr>
        <w:t>E. 5</w:t>
      </w:r>
    </w:p>
    <w:p>
      <w:r>
        <w:t>septembre 2018 consid. 3.1).</w:t>
      </w:r>
    </w:p>
    <w:p>
      <w:r>
        <w:rPr>
          <w:b/>
        </w:rPr>
        <w:t>E. 5.1.1</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JdT 1982 IV 136 ; TF 6B_422/2019 du 5 juin 2019 consid. 6.1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6B_719/2019 du 23 septembre 2019 consid. 2.2 ; TF 6B_1368/2016 précité). Celui qui ne consent à faire un effort particulier que sous la menace de la sanction à venir ne manifeste pas un repentir sincère ; il s’inspire de considérations tactiques et ne mérite donc pas d’indulgence particulière (TF 6B_1499/2021 du 15 août 2022 consid. 3.1 ; TF 6B_719/2019 précité ; TF 6B_1276/2015 du 29 juin 2016 consid. 1.3.1 et les références citées).</w:t>
      </w:r>
    </w:p>
    <w:p>
      <w:r>
        <w:rPr>
          <w:b/>
        </w:rPr>
        <w:t>E. 5.1.2</w:t>
      </w:r>
    </w:p>
    <w:p>
      <w:r>
        <w:t>L’appelant n’explique pas précisément ce qui justifierait de le mettre au bénéfice de la circonstance atténuante de l’art. 48 let. d CP. Les timides regrets exprimés et ses pleurs en audience ne sont en tout cas pas suffisants. Bien plutôt, ses déclarations aux débats de première et deuxième instances dénotent une propension à minimiser ses actes, tant en ce qui concerne les faits du 17 novembre 2022 que ceux les ayant précédés, l’appelant donnant ainsi l’impression d’être plus préoccupé par son sort que par le mal causé à son ex-épouse. Il en va en particulier ainsi lorsqu’il conteste la durée de l’étranglement ou qu’il tente de justifier ses actes par le fait que son honneur aurait été sali. Il s’ensuit qu’il ne saurait y avoir une atténuation de la peine en application de l’art. 48 let. d CP. Il n’y a pas davantage de place pour une atténuation à titre de l’art. 48 let. c CP, pour les motifs déjà exposés plus haut en lien avec la qualification de meurtre passionnel (cf. supra consid. 4 ; TF 6B_675/2018 du 26 octobre 2018 consid. 6.2.4).</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w:t>
      </w:r>
    </w:p>
    <w:p>
      <w:r>
        <w:rPr>
          <w:b/>
        </w:rPr>
        <w:t>E. 5.2.2</w:t>
      </w:r>
    </w:p>
    <w:p>
      <w:r>
        <w:t>Procédant à son examen d’office, la Cour de céans constate que la peine privative de liberté arrêtée à huit ans, par l’effet du concours, a été fixée selon les critères légaux. Elle est toutefois particulièrement clémente compte tenu de la culpabilité de l’appelant, qualifiée à juste titre d’extrêmement lourde, et de l’appréciation des éléments à charge, tels qu’ils sont décrits en pages 38 et 39 du jugement, laquelle peut être reprise ici par adoption de motifs (art. 82 al. 4 CPP). La Cour est ainsi d’avis qu’une peine privative de l’ordre de douze ans aurait été justifiée - même en tenant compte des rares éléments à décharge retenus par les premiers juges - au regard de la violence invraisemblable dont l’appelant s’est rendu l’auteur à l’encontre de la mère de ses enfants, aux seuls motifs que celle-ci lui avait été infidèle et souhaitait le quitter pour échapper à un comportement que l’on n’hésitera pas à qualifier de tyrannique. On rappellera à cet égard que l’appelant a accompli tous les actes qui étaient nécessaires pour provoquer le décès de la victime, le résultat n’étant pas survenu pour des raisons parfaitement indépendantes de sa volonté, laissant son épouse pour morte au moment de quitter les lieux de son crime. La peine privative de liberté de huit ans sera cependant confirmée en raison du principe de l’interdiction de la reformatio in pejus.</w:t>
      </w:r>
    </w:p>
    <w:p>
      <w:r>
        <w:rPr>
          <w:b/>
        </w:rPr>
        <w:t>E. 6</w:t>
      </w:r>
    </w:p>
    <w:p>
      <w:r>
        <w:t>Le recourant conteste son expulsion du territoire suisse. Ressortissant afghan, il se prévaut de son appartenance à la communauté Hazara, dont il soutient qu’elle est violemment persécutée par les Talibans, qui sont à nouveau à la tête de son pays depuis août 2021. Il fait également valoir des problèmes de santé, qui ne pourraient être traités en Afghanistan, ainsi que son absence de formation professionnelle, de travail, de logement et de sources de revenu. Son expulsion ne serait dès lors pas possible, sauf à le mettre concrètement en danger de mort.</w:t>
      </w:r>
    </w:p>
    <w:p>
      <w:r>
        <w:rPr>
          <w:b/>
        </w:rPr>
        <w:t>E. 6.1.1</w:t>
      </w:r>
    </w:p>
    <w:p>
      <w:r>
        <w:t>Aux termes de l'art. 66a al. 1 let. a CP, le juge expulse de Suisse l'étranger qui est condamné notamment pour meurtre,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6.1.2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w:t>
      </w:r>
    </w:p>
    <w:p>
      <w:r>
        <w:rPr>
          <w:b/>
        </w:rPr>
        <w:t>E. 6.2</w:t>
      </w:r>
    </w:p>
    <w:p>
      <w:r>
        <w:t>En l’espèce, il n’est pas possible de se prononcer sur la situation politique qui prévaudra en Afghanistan lorsque l’appelant aura terminé l’exécution de sa peine privative de liberté de huit ans. Il n’y a dès lors pas lieu, à ce stade, de tenir compte de son statut de membre d’une communauté persécutée dans son pays d’origine. Pour le reste, la Cour ne voit pas que l’appelant puisse être mis au bénéfice de la clause de rigueur compte tenu de son intégration largement déficiente, étant notamment rappelé qu’il n’est arrivé en Suisse que récemment, soit en novembre 2018, qu’il est divorcé, sans emploi et entièrement à la charge de l’EVAM, et qu’il ne parle pas le français. Par ailleurs, en tant que l’appelant se prévaut de son état de santé défaillant, il ne précise nullement les affections dont il serait atteint et qu’il ne serait pas possible de traiter dans son pays d’origine. Partant, l’intérêt public à l’expulsion prévaut en raison des actes extrêmement graves dont il s’est rendu coupable. L’expulsion de A.U.________ pour une durée de douze ans, qui tient compte de la présence en Suisse de ses deux filles, doit ainsi être confirmée, de même que son inscription au registre du SIS, compte tenu du fait que le prénommé représente une menace pour la sécurité et l’ordre publics (ATF 146 IV 172 consid. 3.2.2, JdT 2020 IV 312). 7. Conformément à l’art. 51 CP, la durée de la détention et de l’exécution anticipée de peine sera déduite de la peine privative de liberté prononcée. Par ailleurs, la déduction de 51 jours à titre de réparation du tort moral pour les 202 jours durant lesquels l’appelant a été détenu dans des conditions illicites, qui n’est d’ailleurs pas contestée, est adéquate et doit aussi être confirmée. Pour garantir l’exécution de la peine et de l’expulsion, et compte tenu du risque de fuite présenté par l’appelant, son maintien en exécution anticipée de peine doit être ordonné. A cet égard, les chiffres III et IV du dispositif communiqué aux parties contient une erreur manifeste en ce sens qu’il est fait référence à de la détention pour des motifs de sûreté. En application de l’art. 83 CPP, le dispositif du présent jugement sera dès lors rectifié d’office sur ce point.</w:t>
      </w:r>
    </w:p>
    <w:p>
      <w:r>
        <w:rPr>
          <w:b/>
        </w:rPr>
        <w:t>E. 8</w:t>
      </w:r>
    </w:p>
    <w:p>
      <w:r>
        <w:t>Au vu de ce qui précède, l’appel doit être rejeté et le jugement entrepris confirmé. Me Dario Barbosa, défenseur d’office de A.U.________, a produit une liste d’opérations dans laquelle il indique une activité nécessaire d’avocat de 12h42, ce qui est adéquat. Au tarif horaire de 180 fr. (cf. art. 2 al. 1 RAJ [règlement sur l'assistance judiciaire en matière civile du 7 décembre 2010 ; BLV 211.02.3]), l’indemnité de défenseur d'office qui doit être allouée pour la procédure d'appel s’élève donc à 2'769 fr. 75, soit des honoraires de 2’286 fr., auxquels s’ajoutent les débours forfaitaires de 45 fr. 75, deux vacations à 240 fr. et la TVA sur le tout par 198 francs. Me Anne-Louise Gilliéron, conseil juridique gratuit de R.________, a également une produit une liste d’opérations. Celle-ci fait état d’une activité nécessaire d’avocat de 7h50, dont il n’y a pas lieu de s’écarter, si ce n’est pour ajouter 1h30 afin de tenir compte du temps consacré aux débats d’appel. C’est ainsi une durée de 9h20 qui sera retenue. Au tarif horaire de 180 fr., l’indemnité de conseil juridique gratuit sera dès lors fixée à 1'974 fr. 80, comprenant des honoraires, par 1'680 fr., auxquels s’ajoutent les débours forfaitaires, par 33 fr. 60, une vacation à 120 fr. et la TVA sur le tout, par 141 fr. 20. Vu l’issue de la cause, les frais de la procédure d’appel, par 8'084 fr. 55, constitués de l’émoluments de jugement et d’audience, par 3’340 fr. (art. 21 al. 1 et 2 TFIP [tarif des frais de procédure et indemnités en matière pénale du 28 septembre 2010 ; BLV 312.03.1]), et des indemnités dues au défenseur d’office, par 2'769 fr. 75, et au conseil juridique gratuit, par 1'974 fr. 80, seront mis à la charge de A.U.________, qui succombe (art. 428 al. 1 CPP). A.U.________ sera tenu de rembourser à l’Etat le montant des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