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384 vom 9. Mai 2022</w:t>
      </w:r>
    </w:p>
    <w:p>
      <w:r>
        <w:t>VD Tribunal cantonal, 2022-05-09, FR</w:t>
      </w:r>
    </w:p>
    <w:p>
      <w:r>
        <w:rPr>
          <w:b/>
        </w:rPr>
        <w:t xml:space="preserve">Quelle: </w:t>
      </w:r>
      <w:r>
        <w:t>https://mcp.opencaselaw.ch/entscheid/vd_findinfo_Jug___2022___384</w:t>
      </w:r>
    </w:p>
    <w:p>
      <w:r>
        <w:t>FR: VD_FINDINFO Jug / 2022 / 384 du 9 mai 2022</w:t>
      </w:r>
    </w:p>
    <w:p>
      <w:r>
        <w:t>IT: VD_FINDINFO Jug / 2022 / 384 del 9 maggio 2022</w:t>
      </w:r>
    </w:p>
    <w:p>
      <w:pPr>
        <w:pStyle w:val="Heading2"/>
      </w:pPr>
      <w:r>
        <w:t>Regeste</w:t>
      </w:r>
    </w:p>
    <w:p>
      <w:r>
        <w:t>LOI FÉDÉRALE CONTRE LA CONCURRENCE DÉLOYALE, CHAUFFEUR, TAXI | 2 LCD, 23 LCD, 3 al. 1 let. b LCD, 3 al. 1 let. d LCD, 126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L’appelant a requis l’audition de [...] pour qu’elle confirme qu’elle l’avait préalablement appelé pour qu’il vienne la prendre en charge à la gare de [...].</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3.2</w:t>
      </w:r>
    </w:p>
    <w:p>
      <w:r>
        <w:t>En l’espèce, on ne voit pas en quoi les éventuelles déclarations d’[...] seraient en mesure d’influencer l’issue de la cause, en particulier le fait que l’appelant a pris en charge des clients sur le territoire communal de [...] sans avoir été appelé au préalable. Comme on le verra ci-dessous (cf. consid. 4.2.1 infra), les déclarations des différentes personnes entendues durant l’enquête sont en effet complètes et convaincantes sur ce point. Par conséquent, la réquisition de preuve de l’appelant est inutile et doit être rejetée.</w:t>
      </w:r>
    </w:p>
    <w:p>
      <w:r>
        <w:rPr>
          <w:b/>
        </w:rPr>
        <w:t>E. 4</w:t>
      </w:r>
    </w:p>
    <w:p>
      <w:r>
        <w:t>L'appelant reproche au premier juge d’avoir apprécié les faits de manière incomplète et erronée et d’avoir abusé de son pouvoir d’appréciation pour conclure qu’il s’était rendu coupable d’infractions aux art. 3 al. 1 let. b, c et f LCD. Il affirme avoir toujours pris en charge les clients qui se trouvaient à [...] uniquement lorsque ces derniers l'avaient appelé au préalable et conteste avoir volé les clients des autres compagnies de taxi, ajoutant ne jamais avoir voulu nuire à ces dernières.</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4.1.2</w:t>
      </w:r>
    </w:p>
    <w:p>
      <w:r>
        <w:t>L'art. 23 LCD sanctionne pénalement les actes de concurrence déloyale visés par les art. 3, 4, 4a, 5 et 6 LCD. Les actes qui ne tombent que sous le coup de la clause générale inscrite à l'art. 2 LCD ne constituent pas des infractions pénales. Selon l'art. 23 al. 1 LCD,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(TF 6S.858/1999 du 16 août 2001 consid. 7b/bb). Il a notamment été soutenu que les dispositions pénales de la LCD étaient en contradiction avec le principe de la légalité, au motif qu'elles étaient trop imprécises (cf. ATF 122 IV 33 consid. 2b et les références citées). Les dispositions pénales de la LCD doivent donc être interprétées restrictivement (ATF 123 IV 211 consid. 3b). La loi fédérale contre la concurrence déloyale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w:t>
      </w:r>
    </w:p>
    <w:p>
      <w:r>
        <w:rPr>
          <w:b/>
        </w:rPr>
        <w:t>E. 4.1.3</w:t>
      </w:r>
    </w:p>
    <w:p>
      <w:r>
        <w:t>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Cette disposition vise l'induction en erreur par la sur-appréciation de la personne ou des prestations d'un concurrent. C'est une condition constante que les allégations qui induisent en erreur doivent être de nature à affecter la liberté de décision du client. Les allégations doivent être rendues accessibles à un cercle de personnes susceptibles d'appartenir à la clientèle. L'induction en erreur doit être atteinte par l'énoncé de propos soit inexacts, soir fallacieux (Nicolas Kuonen, LCD, Commentaire romand ad art. 3 al. 1 let. b LCD).</w:t>
      </w:r>
    </w:p>
    <w:p>
      <w:r>
        <w:rPr>
          <w:b/>
        </w:rPr>
        <w:t>E. 4.1.4</w:t>
      </w:r>
    </w:p>
    <w:p>
      <w:r>
        <w:t>D'après l'art. 3 al. 1 let. c LCD, agit de façon déloyale celui qui porte ou utilise des titres ou des dénominations professionnelles inexacts, qui sont de nature à faire croire à des distinctions ou capacités particulières. Cette disposition vise également une forme d'induction en erreur. L'erreur induite auprès du cercle de clients potentiels porte de manière générale sur les compétences au sens large d'un concurrent, lesquelles se trouvent sur-appréciées par le recours que fait celui-ci à des dénominations professionnelles ou titres inexacts. La notion de titre comporte généralement une composante officielle qui repose sur l'autorisation conférée par une réglementation de droit public à une institution. Un titre peut également consister dans une attestation délivrée par une institution ou des personnes privées, sans implication de l'Etat.</w:t>
      </w:r>
    </w:p>
    <w:p>
      <w:r>
        <w:rPr>
          <w:b/>
        </w:rPr>
        <w:t>E. 4.1.5</w:t>
      </w:r>
    </w:p>
    <w:p>
      <w:r>
        <w:t>Aux termes de l'art. 3 al. 1 let. d LCD, agit de façon déloyale celui qui, notamment prend des mesures qui sont de nature à faire naître une confusion avec les marchandises, les œuvres, les prestations ou les affaires d'autrui. Cette disposition est parfois décrite comme "la protection des signes distinctifs en droit de la concurrence déloyale" et embrasse tous les comportements qui induisent le public en erreur en créant un risque de confusion entre la marchandise ou la prestation offerte par l’auteur de l’infraction et un concurrent.</w:t>
      </w:r>
    </w:p>
    <w:p>
      <w:r>
        <w:rPr>
          <w:b/>
        </w:rPr>
        <w:t>E. 4.1.6</w:t>
      </w:r>
    </w:p>
    <w:p>
      <w:r>
        <w:t>L'art. 3 al. 1 let. f LCD dispose qu'agit de façon déloyale celui qui offre, de façon réitérée, au-dessous de leur prix coûtant, un choix de marchandises, d'œuvres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d'œuvres ou de prestations de même nature; si le défendeur peut établir le prix coûtant effectif, celui-ci est déterminant pour le jugement.</w:t>
      </w:r>
    </w:p>
    <w:p>
      <w:r>
        <w:rPr>
          <w:b/>
        </w:rPr>
        <w:t>E. 4.2.1</w:t>
      </w:r>
    </w:p>
    <w:p>
      <w:r>
        <w:t>En l’espèce, force est de retenir, comme le premier juge, que l’appelant, qui ne bénéficiait pas de l'autorisation délivrée par la Municipalité, a régulièrement pris en charge des clients dans la ville de [...] et qu'il a parfois pris en charge des clients qui ne l'avaient pas appelé lui, mais des chauffeurs employés des plaignantes. Contrairement à ce qu’affirme l’appelant, cela ressort des déclarations concordantes, claires et convaincantes des témoins entendus. Ainsi, I.________ a notamment indiqué que C.________ prenait des clients à [...], les conduisait où ils le souhaitaient et les ramenait à [...] (PV aud. 1 du 1 er septembre 2020). De même, L.________ a expliqué avoir été appelé par des clients à [...] et que C.________ les avait pris en charge à sa place, que cela était arrivé à d’autres reprises surtout lors de fêtes, avec des clients « bourrés » qui montaient « dans le premier taxi en pensant que c’est le bon », sans qu’il ne leur dise que ce n’était pas lui qu’ils avaient appelé et qu’ils devaient attendre. Il a en outre confirmé que C.________ circulait pratiquement tous les jours avec son taxi dans la ville de [...] (PV aud. 2 du 25 octobre 2021). Enfin, P.________ a déclaré qu’il était parfois appelé par un client et que lorsqu’il arrivait à la gare de [...], C.________ était en train de charger ledit client, qu’il voyait C.________ régulièrement circuler à [...], que ce dernier faisait de la publicité sur internet et que les clients ne pouvaient différencier le taxi de C.________ de tous les autres taxis de [...] et qu’il prenait régulièrement des clients en ville de [...] et ne se contentait pas uniquement de transiter par cette ville (PV aud. 3 du 25 octobre 2021). On relève encore qu’en janvier 2019, la Municipalité de [...] avait sommé l’appelant de se conformer au règlement communal en vigueur et de cesser d’exploiter son entreprise de taxi sur le territoire communal (P. 4/10). De même, par courriel du 30 janvier 2020, le commandement de l’école de recrue a informé l’ensemble des entreprises de taxis exerçant leur activité à [...], dont celle de l’appelant, qu’il n’était plus permis de stationner devant l’entrée de la caserne en raison du risque d’accident que cela engendrait (P. 7/1). En agissant de la sorte, l’appelant a violé le règlement communal de [...], lequel prévoit que pour pouvoir exploiter une entreprise de taxi sur le territoire de la commune, il faut au préalable obtenir l'autorisation de la Municipalité (art. 7 al. 1 du Règlement de commune de [...]). Selon l'art. 9. ch. 2 al. 5 de ce règlement, les exploitants de taxis au bénéfice d'une autorisation valable de taxi délivrée dans une autre commune, dans un autre canton ou dans l'Union européenne n'ont le droit de charger des clients sur le territoire de la Commune de [...] que s'ils ont été expressément commandés à l'avance par ceux-ci alors que les taxis ne se trouvaient pas sur le territoire communal et qu'une telle prise en charge n'ait lieu qu'à dix reprises au maximum par mois. Sur demande de la Police, le chauffeur de taxi est tenu de justifier que ces conditions sont respectées. L'appelant a également violé l'art. 2 LCD, qui prévoit qu'est déloyal et illicite tout comportement ou pratique commerciale qui est trompeur ou qui contrevient de toute autre manière aux règles de la bonne foi et qui influe sur les rapports entre concurrents ou entre fournisseurs et clients.</w:t>
      </w:r>
    </w:p>
    <w:p>
      <w:r>
        <w:rPr>
          <w:b/>
        </w:rPr>
        <w:t>E. 4.2.2</w:t>
      </w:r>
    </w:p>
    <w:p>
      <w:r>
        <w:t>Une violation du règlement communal de [...] ou de l'art. 2 LCD ne constituent toutefois pas des infractions pénales au sens de l'art. 23 LCD. Reste à examiner une éventuelle violation de l'art. 3 al. 1 let. b, c et f LCD, comme l’a retenu l’acte d'accusation. On ne peut reprocher à l'appelant une violation de l'art. 3 al. 1 let. c LCD, dans la mesure où il n'a pas utilisé un titre ou une dénomination professionnelle inexacte. L'art. 3 al. 1 let. f LCD n'entre pas non plus en ligne de compte, dès lors qu'il n'a pas été établi que l'appelant aurait pratiqué des tarifs au forfait ou des prix défiants toute concurrence. En revanche, on peut reprocher à l'appelant une violation de l'art. 3 al. 1 let. b LCD. En effet, au regard de son comportement, les usagers n'étaient pas en mesure de distinguer les taxis dûment autorisés par la Municipalité du taxi de l'appelant. Or, il est établi que ce dernier circulait à [...] à proximité des places de taxi et y chargeait des clients. Par ailleurs, le nom de sa société apparaît sur le site local.ch dans le cadre de la recherche « taxi à [...] ». On peut également admettre une violation de l'art. 3 al. 1 let. d LCD, l'intéressé ayant par son comportement créé, pour les clients, un risque de confusion avec les plaignantes. 5. Dans le cas où il devait être reconnu coupable, l’appelant requiert que le délai d’épreuve fixé à trois ans soit ramené à deux ans. A l’appui de cette conclusion, il explique n’avoir jamais eu de condamnation pénale liée de près ou de loin avec son activité de taxi par le passé et affirme avoir toujours agi en étant convaincu qu'il respectait toutes les conditions posées par la loi. 5.1 Aux termes de l’art. 42 al. 1 CP,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TF 6B_529/2019 du 5 juin 2019 consid. 3.1; TF 6B_1339/2016 du 23 mars 2017 consid. 1.1.2; TF 6B_1227/2015 du 29 juillet 2016 consid. 1.2.1). 5.2 En l’espèce, le premier juge a accordé le sursis à la peine prononcée et a fixé un délai d’épreuve de trois ans, soit un délai légèrement supérieur au minimum prévu par la loi. Ce délai se justifie dans la mesure où l’appelant est domicilié à [...] et qu’il va poursuivre son activité de chauffeur de taxi. Partant, un délai d’épreuve fixé à trois ans contribuera efficacement et durablement à dissuader l’appelant à réitérer son comportement illicite et à réduire le risque de récidive qui, en l’état, n’est pas négligeable. 6. Fondé sur son acquittement, l’appelant conteste le principe de l’allocation d’une indemnité au sens de l’art. 433 CPP en faveur des plaignantes. A titre subsidiaire, et dans le cas où il devrait être condamné, il conclut à la réduction du montant alloué à ce titre, soit 7'730 fr. 90, estimant que le temps consacré allégué par le conseil des plaignantes, à savoir plus de 25 heures, semblait totalement disproportionné. 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6.2 Dans la mesure où la culpabilité de l’appelant est confirmée, les plaignantes ont le droit à une indemnité pour les dépenses occasionnées par la procédure pénale au sens de l’art. 433 CPP. Le premier juge a considéré que les opérations invoquées dans les deux listes d’opérations produites par les plaignantes les 8 novembre 2021 et</w:t>
      </w:r>
    </w:p>
    <w:p>
      <w:r>
        <w:rPr>
          <w:b/>
        </w:rPr>
        <w:t>E. 8</w:t>
      </w:r>
    </w:p>
    <w:p>
      <w:r>
        <w:t>LCD, mais il faut encore qu'il influe sur les rapports entre concurrents ou entre fournisseurs et clients (cf. art. 2 LCD in fine),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 ATF 131 III 384 consid. 3 ; ATF 126 III 198 consid. 2c/aa ; TF 6B_106/2018 du 5 septembre 2018 consid. 2.4.1 ; TF 6B_887/2016 du 6 octobre 2016 consid. 5.1).</w:t>
      </w:r>
    </w:p>
    <w:p>
      <w:r>
        <w:rPr>
          <w:b/>
        </w:rPr>
        <w:t>E. 9</w:t>
      </w:r>
    </w:p>
    <w:p>
      <w:r>
        <w:t>mai 2022 étaient justifiées, sous réserve de la deuxième vacation au tribunal et de l’audience de lecture du jugement qui n’avaient pas eu lieu, et pour lesquelles le magistrat avait retranché un temps total de 80 minutes. Il a en outre retenu un tarif horaire à 270 francs. L’appelant ne met pas en lumière quelles opérations alléguées par les plaignantes seraient disproportionnées, pas plus qu’il ne conteste le tarif horaire retenu. Il n’y a dès lors pas lieu de s’écarter de l’appréciation du premier juge sur ce point. Le montant alloué aux plaignantes au titre de l’art. 433 CPP doit dès lors être confirmé. 7. L’appelant requiert une indemnité au sens de l'art. 429 CPP et à ce que les frais de justice de première instance soient laissés à la charge de l'Etat. Cette conclusion est fondée sur la prémisse de son acquittement des infractions à la LCD. La culpabilité de l'appelant étant confirmée, il doit supporter les frais de procédure conformément à l’art. 426 al. 1 CPP et n'a pas droit à l'allocation d'une indemnité au sens de l'art. 429 CPP. On relève au surplus que l’appelant a violé le règlement communal de [...] et qu’il a, par son comportement, provoqué l'ouverture de la procédure pénale dirigée contre lui. Il convient donc de confirmer le dispositif en tant qu’il met les frais de justice de première instance à sa charge. 8. Au vu de ce qui précède, l’appel doit être rejeté et le jugement attaqué confirmé. Me Olga Collados Andrade, défenseur d’office de C.________, a produit une liste d’opérations dont il n’y a pas lieu de s’écarter sous réserve du retranchement de 60 minutes pour tenir compte de la durée effective de l’audience d’appel et de 25 minutes alléguées pour des opérations post-audience qui n’ont pas lieu d’être rémunérées ici. C’est ainsi une durée de 13 heures 20 d’activité d’avocat nécessaire qui sera admise, rémunérée au tarif horaire de 180 francs. Une indemnité d’office de 2’765 fr. 75, TVA et débours inclus, sera dès lors allouée pour la procédure d’appel. Les parties plaignantes, qui ont agi par le biais d’un avocat, ont droit à une indemnité pour les dépenses occasionnées par la procédure d’appel au sens de l’art. 433 CPP. Sur la base de la liste d’opérations produite par le conseil des plaignantes, Me Elodie Fuentes, sous réserve du retranchement de 30 minutes pour tenir compte du temps effectif de l’audience d’appel, cette indemnité peut être arrêtée à 2’304 fr. 35, correspondant à 7 heures et 20 minutes d’activité nécessaire d’avocat, au tarif horaire de 270 fr., débours et TVA inclus. Vu l’issue de la cause, les frais de la procédure d'appel, constitués en l’espèce de l’émolument de jugement, par 2’050 fr. (art. 21 al. 1 TFIP), ainsi que de l'indemnité due au défenseur d'office, par 2’765 fr. 75, seront mis à la charge de C.________ qui succombe (art. 428 al. 1 CPP). C.________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