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380 vom 24. März 2022</w:t>
      </w:r>
    </w:p>
    <w:p>
      <w:r>
        <w:t>VD Tribunal cantonal, 2022-03-24, FR</w:t>
      </w:r>
    </w:p>
    <w:p>
      <w:r>
        <w:rPr>
          <w:b/>
        </w:rPr>
        <w:t xml:space="preserve">Quelle: </w:t>
      </w:r>
      <w:r>
        <w:t>https://mcp.opencaselaw.ch/entscheid/vd_findinfo_Jug___2022___380</w:t>
      </w:r>
    </w:p>
    <w:p>
      <w:r>
        <w:t>FR: VD_FINDINFO Jug / 2022 / 380 du 24 mars 2022</w:t>
      </w:r>
    </w:p>
    <w:p>
      <w:r>
        <w:t>IT: VD_FINDINFO Jug / 2022 / 380 del 24 marzo 2022</w:t>
      </w:r>
    </w:p>
    <w:p>
      <w:pPr>
        <w:pStyle w:val="Heading2"/>
      </w:pPr>
      <w:r>
        <w:t>Regeste</w:t>
      </w:r>
    </w:p>
    <w:p>
      <w:r>
        <w:t>ESCROQUERIE, PRINCIPE DE L'ACCUSATION, FIXATION DE LA PEINE, SURSIS PARTIEL À L'EXÉCUTION DE LA PEINE | 146 CP, 43 al. 1 CP, 47 CP, 49 al. 1 CP, 9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B.R.________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w:t>
      </w:r>
    </w:p>
    <w:p>
      <w:r>
        <w:t>L’appelant requiert, à titre de mesure d’instruction, la production par T.________ AG du relevé complet des paiements effectués par mensualités de 1'168 fr. 75 s’agissant du crédit n° [...] contracté au nom de L.________, faisant valoir que le jugement entrepris n’établirait pas concrètement qu’il rembourserait mensuellement ce prêt et que les instituts contactés auraient régulièrement opposé le secret bancaire à son conseil. Une appréciation anticipée de cette preuve conduit toutefois à en rejeter l’administration, celle-ci étant inutile au traitement de l’appel. En effet, outre que ce fait semble admis par le jugement de première instance, qui mentionne que le prévenu « semble avoir régulièrement réglé de nombreuses mensualités pour le compte de L.________ » (cf. jugement, p. 19), il est loisible à l’appelant de produire lui-même les preuves de ses paiements, ce qu’il a du reste fait en cours de procédure, en produisant, le 18 août 2022, le relevé des versements effectués auprès de T.________ AG entre le 5 janvier 2018 et le 2 août 2022 (P. 133). Les conditions de l’art. 389 al. 3 CPP n’étant pas réalisées, la mesure d’instruction requise doit donc être rejetée.</w:t>
      </w:r>
    </w:p>
    <w:p>
      <w:r>
        <w:rPr>
          <w:b/>
        </w:rPr>
        <w:t>E. 3.1</w:t>
      </w:r>
    </w:p>
    <w:p>
      <w:r>
        <w:t>Invoquant une violation de son droit d’être entendu, l’appelant fait grief au Tribunal correctionnel d’avoir insuffisamment motivé sa condamnation pour escroquerie à raison des faits objets du chiffre 7 de l’acte d’accusation (cf. consid. 3.1 de la partie « en fait » ci-dessus), dès lors que les faits retenus ne permettraient pas de comprendre qui est la dupe et pour quelle raison l’infraction d’escroquerie serait réalisée. Il fait valoir que l’enquête n’aurait pas permis de déterminer à qui les tableaux litigieux auraient été vendus ni même à quel prix, et si les acheteurs auraient véritablement été trompés, dans la mesure où ils auraient uniquement été intéressés par l’esthétique et le faible prix de l’œuvre, et non par sa provenance.</w:t>
      </w:r>
    </w:p>
    <w:p>
      <w:r>
        <w:rPr>
          <w:b/>
        </w:rPr>
        <w:t>E. 3.2.1</w:t>
      </w:r>
    </w:p>
    <w:p>
      <w:r>
        <w:t>Aux termes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donc une tromperie, une astuce, une induction en erreur, un acte de disposition et un dommage, ainsi qu’un lien de causalité entre les éléments qui précèdent (Dupuis et al. [éd.], Code pénal, Petit commentaire, 2 e éd., Bâle 2017, n. 1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3.2.2</w:t>
      </w:r>
    </w:p>
    <w:p>
      <w:r>
        <w:t>Le principe de l’accusation est consacré à l'art. 9 CPP, mais découle aussi des art. 29 al. 2 Cst., 32 al. 2 Cst., 6 § 1 et 3 let. a et b CEDH (Convention de sauvegarde des droits de l’homme et des libertés fondamentales du 4 novembre 1950 ; RS 0.101).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Les art. 324 ss CPP règlent la mise en accusation, en particulier le contenu de l’acte d’accusation. Selon l'art. 325 al. 1 CPP, l'acte d'accusation désigne notamment le nom du lésé (let. e),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outre l’identité du lésé, les faits qui, de l'avis du Ministère public, correspondent à tous les éléments constitutifs de l'infraction reprochée au prévenu (ATF 143 IV 63 précité ; TF 6B_283/2022 du 14 septembre 2022 consid. 1.1 ; TF 6B_303/2022 du 9 septembre 2022 consid. 1.1 ; TF 6B_189/2020 du 16 juin 2020 consid. 1.1). Des imprécisions relatives au lieu ou à la date sont sans portée, dans la mesure où le prévenu ne peut avoir de doutes sur le comportement qui lui est reproché (TF 6B_303/2022 précité ; TF 6B_696/2019 du 24 septembre 2019 consid. 1.2.1 ; TF 6B_275/2016 du 9 décembre 2016 consid. 2.1 et la référence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n’exercent aucune influence sur l’appréciation juridique (TF 6B_1023/2017 du 25 avril 2018 consid. 1.1 non publié in ATF 144 IV 189 ; TF 6B_947/2015 du 29 juin 2017 consid. 7.1 et les références citées). Le principe d’accusation ne saurait en effet empêcher l’autorité de jugement, au besoin, de constater des faits permettant de réfuter les contestations et allégations du prévenu, qu’il n’incombe pas au Ministère public de décrire par le menu dans l’acte d’accusation (TF 6B_938/2017 du 2 juillet 2018 consid. 3.1 ; TF 6B_28/2016 du 10 octobre 2016 consid. 2.1).</w:t>
      </w:r>
    </w:p>
    <w:p>
      <w:r>
        <w:rPr>
          <w:b/>
        </w:rPr>
        <w:t>E. 3.3</w:t>
      </w:r>
    </w:p>
    <w:p>
      <w:r>
        <w:t>Le prévenu a été renvoyé devant le Tribunal correctionnel par acte d’accusation du 11 octobre 2021 qui retient à son chiffre 7 les faits suivants : « 7) Depuis son domicile d’Yverdon-les-Bains, entre mai 2018 et juin 2019, B.R.________ a fait reproduire, par le biais d’un site internet fabriquant des copies, à tout le moins 6 tableaux de N.________, artiste peintre, qui sont des œuvres uniques et originales. Il a ensuite mis en vente sur internet lesdits tableaux, en utilisant de nombreux mensonges, notamment qu’il en était l’auteur, qu’il allait faire une exposition à Genève ou que les œuvres étaient des reproductions faites par des apprentis de l’artiste dans l’atelier même de N.________. Il a également proposé à différents clients d’en faire – ou d’en faire faire – d’autres sur commande, tentant même d’obtenir un contrat professionnel avec le site internet. Il est parvenu à vendre à tout le moins deux des tableaux en question. » Il est vrai que le jugement entrepris est laconique au moment de l’analyse juridique de ce cas, retenant : « Les faits sont admis par le prévenu. Ils ressortent principalement de la plainte déposée et des pièces qui y sont annexes (P. 55). Aux débats, B.R.________ a expliqué que c’était un peu par hasard qu’il avait eu l’idée de vendre ces tableaux. Il a admis avoir réalisé un bénéfice de l’ordre de 2'000 fr., dont il s’est spontanément reconnu débiteur du plaignant, ce dont il sera pris acte. Les faits qui précèdent sont constitutifs de l’infraction d’escroquerie. L’aggravante du métier ne sera pas retenue, vu le caractère anecdotique du cas d’espèce. Le prévenu sera au surplus libéré du chef de prévention de violation du droit d’auteur eu égard à la tardiveté de la plainte déposée. » (cf. jugement, p. 24). Il peut être donné acte à l’appelant que les faits mentionnés dans l’acte d’accusation ne permettent pas de comprendre qu’il aurait fait passer les tableaux pour de vraies œuvres d’un peintre célèbre, celles-ci n’étant pas affublées de fausses signatures. Il ne permet pas non plus de comprendre si la tromperie, à supposer qu’elle fût astucieuse, ce qui n’est pas établi, aurait été causale. On ignore même qui aurait été trompé et dans quelle mesure. Au demeurant, personne ne soutient que les acheteurs auraient pensé acquérir de vrais « N.________ ». Dans ces circonstances, dès lors que l’acte d’accusation ne décrit pas les faits correspondant aux éléments constitutifs de l'infraction d’escroquerie, celle-ci ne saurait être retenue à l’encontre de l’appelant, sauf à violer le principe d’accusation. Force est au demeurant de constater que même en faisant abstraction de ce principe, le dossier ne contient guère plus d’éléments. Le rapport de police (P. 85) n’est pas plus détaillé et, si l’on peut constater, à la lecture des messages échangés avec de potentiels clients (annexe 24 à la P. 84), quelques mensonges de la part de l’appelant, comme le fait qu’il ferait une exposition à Genève par exemple, on peut également constater l’indication expresse qu’il s’agit de reproductions. Compte tenu de ce qui précède, ce grief doit être admis et l’appelant libéré de l’infraction d’escroquerie à raison des faits objets du chiffre 7 de l’acte d’accusation.</w:t>
      </w:r>
    </w:p>
    <w:p>
      <w:r>
        <w:rPr>
          <w:b/>
        </w:rPr>
        <w:t>E. 4.1</w:t>
      </w:r>
    </w:p>
    <w:p>
      <w:r>
        <w:t>L’appelant conteste la peine prononcée à son encontre par les premiers juges, qu’il estime trop sévère, et fait valoir qu’une peine privative de liberté de 36 mois, compatible avec le sursis partiel, serait adéquate. Il soutient que le montant du préjudice initialement causé aurait eu une importance démesurée dans la fixation de la peine, laquelle ne tiendrait pas suffisamment compte du fait que J.________ AG aurait été intégralement remboursée, que les mensualités du prêt contracté au nom de L.________ continueraient à être régulièrement acquittées et que l’acte de défaut de biens de S.________ aurait été remboursé – certes après le jugement de première instance – en intégralité. Il fait en outre valoir que sa collaboration à l’enquête n’aurait pas seulement été « correcte », mais importante, qu’il aurait proposé de dédommager la Caisse de chômage et le plaignant N.________ et exprimé la volonté d’entreprendre un suivi thérapeutique. Il soutient enfin que les remboursements encore à effectuer lui feraient prendre conscience mois après mois des conséquences de ses agissements et affirme que les regrets exprimés seraient sincères. L’appelant soutient par ailleurs qu’il serait digne d’un sursis partiel, la partie ferme de la peine ne devant pas excéder les 227 jours de détention déjà subis. A cet égard, il fait valoir qu’il aurait démontré qu’il se serait repris en mains, remboursant le préjudice causé, menant désormais une vie stable, n’ayant plus fait parler défavorablement de lui depuis sa libération le 30 avril 2020 et ayant depuis lors développé la bonne marche de ses affaires honnêtes.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4.2.3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4.3</w:t>
      </w:r>
    </w:p>
    <w:p>
      <w:r>
        <w:t>Après avoir analysé les éléments à charge et à décharge, les premiers juges ont estimé, vu la gravité des faits reprochés à l’appelant, qu’une peine privative de liberté d’une quotité incompatible avec l’octroi du sursis, même partiel, devait être prononcée. L’escroquerie par métier constituant l’infraction abstraitement la plus grave, elle devait être sanctionnée d’une privation de liberté de 35 mois, laquelle devait être augmentée de 5 mois par l’effet du concours, totalisant ainsi 40 mois. A l’instar des premiers juges, il y a lieu de retenir que la culpabilité de l’appelant est lourde. Celui-ci a agi à de multiples reprises, par pur appât du gain, tant au détriment de parfaits inconnus que de l’un de ses amis ou de sa compagne de l’époque. Ses actes ont en outre porté sur des montants importants, seule son arrestation ayant permis de mettre fin à ses activités délictueuses. Il présente de surcroît l’aggravante du concours et se trouve en situation de récidive spéciale, puisqu’il s’est à nouveau rendu coupable d’escroquerie par métier une année après son passage devant le Tribunal de police de l’arrondissement de la Broye et du Nord vaudois, durant le délai d’épreuve qui lui avait été octroyé et alors même qu’il avait déjà passé seize jours en détention provisoire dans le cadre de cette précédente affaire. Il y a lieu de relever que l’appelant a également récidivé au cours de la présente enquête, après sa première audition par la police le 27 avril 2018. A décharge, avec les premiers juges, il convient de retenir que sa collaboration à l’enquête a été correcte, qu’il a intégralement remboursé J.________ AG, qu’il continue à rembourser le prêt contracté au nom de L.________, lequel en reste toutefois le débiteur aux yeux de l’établissement bancaire, et qu’il a exprimé des regrets. Depuis le jugement de première instance, il a en outre intégralement remboursé l’acte de défaut de biens de S.________, qui portait sur plus de 17'000 fr., et s’est proposé de restituer à N.________ les 2'000 fr. obtenus par la vente des tableaux, conformément à l’engagement pris aux débats, de sorte qu’une part très importante du préjudice a ainsi été remboursée. Il semble de surcroît avoir trouvé un mode de vie stable depuis près de deux ans et demi, percevant des revenus réguliers et licites de l’activité professionnelle qu’il a développée avec sa compagne. L’appelant est libéré d’un cas d’escroquerie. Il est ainsi en définitive reconnu coupable d’escroquerie par métier, de faux dans les titres et d’infraction à la LStup. A l’instar des premiers juges, il convient de retenir qu’une peine privative de liberté s’impose pour sanctionner les infractions commises pour des motifs de prévention spéciale, compte tenu de la gravité des faits et des antécédents de l’appelant en la matière. L’infraction la plus grave est l’escroquerie par métier, qui justifie à elle seule le prononcé d’une peine privative de liberté de 32 mois. Les effets du concours conduisent à l’augmentation de cette peine de base de deux mois pour sanctionner le faux dans les titres et de deux mois supplémentaires pour réprimer l’infraction à la LStup, de sorte qu’une peine privative de liberté de 36 mois paraît adéquate. Dès lors que la peine prononcée est compatible avec l’octroi du sursis partiel, il y a lieu d’examiner si l’appelant en rempli les conditions. A cet égard, compte tenu de la situation professionnelle et personnelle stable de l’appelant depuis plus de deux ans, du fait qu’il n’a commis aucun nouveau délit, qu’il a admis ses torts et exprimé des regrets, qu’il a remboursé une part très importante du préjudice causé, vu les démarches entreprises en ce sens auprès de la Caisse de chômage et de N.________ et compte tenu du fait qu’il s’est engagé à poursuivre le remboursement du prêt contracté au nom de L.________ à l’avenir, la Cour de céans peut concevoir que, malgré ses antécédents et les vaines mises en garde du Ministère public, les 227 jours de détention subis dans le cadre de la présente affaire semblent avoir enfin activé une prise de conscience efficace de l’appelant, qui a fait la preuve par l’acte qu’il était désormais capable de renoncer à la commission d’infractions. L’exécution d’une partie de la peine privative de liberté semble ainsi avoir été de nature à améliorer le pronostic sur le comportement futur de B.R.________ ; l’exécution de l’entier de sa peine ne serait par ailleurs pas opportune, dès lors qu’elle serait susceptible de mettre à néant le redressement social et professionnel de l’appelant et l’entraverait dans sa possibilité de continuer à rembourser le prêt contracté au nom de L.________, de sorte qu’il se justifie d’octroyer un sursis partiel à l’appelant, pour autant que le solde de la peine soit suffisamment significatif pour présenter un caractère dissuasif et que le délai d’épreuve soit fixé pour une longue durée. Le sursis partiel sera en outre soumis à la condition que l’appelant continue à s’acquitter régulièrement des mensualités du prêt dont L.________ est le débiteur auprès de T.________ AG jusqu’à son extinction complète. Ce moyen doit donc être admis et l’appelant condamné à une peine privative de liberté de 36 mois, dont 29 mois avec sursis pendant cinq ans, l’octroi du sursis partiel étant subordonné à la condition qu’il continue à s’acquitter régulièrement des mensualités du prêt dont L.________ est le débiteur auprès de T.________ AG jusqu’à son extinction complète.</w:t>
      </w:r>
    </w:p>
    <w:p>
      <w:r>
        <w:rPr>
          <w:b/>
        </w:rPr>
        <w:t>E. 4.4</w:t>
      </w:r>
    </w:p>
    <w:p>
      <w:r>
        <w:t>Conformément à l’art. 51 CP, la détention subie avant jugement, totalisant 227 jours, sera déduite de la peine privative de liberté prononcée.</w:t>
      </w:r>
    </w:p>
    <w:p>
      <w:r>
        <w:rPr>
          <w:b/>
        </w:rPr>
        <w:t>E. 5</w:t>
      </w:r>
    </w:p>
    <w:p>
      <w:r>
        <w:t>En définitive, l’appel doit être admis et le jugement entrepris réformé dans le sens des considérants qui précèdent. Vu l’issue de la cause, les frais de la procédure d’appel, constitués du seul émolument de jugement (art. 21 al. 1 et 2 TFIP [Tarif des frais de procédure et indemnités en matière pénale du 28 septembre 2010 ; BLV 312.03.1]), par 2’900 fr., seront laissés à la charge de l’Etat, l’appelant obtenant gain de cause. Aucune indemnité au titre de l’art. 429 al. 1 let. a CPP ne sera allouée à B.R.________ pour les dépenses occasionnées par l’exercice raisonnable de ses droits de procédure dans le cadre de l'appel, celui-ci y ayant implicitement renoncé en ne réagissant pas à l’injonction expresse de la Cour de céans du 29 juillet 2022 l’invitant à chiffrer et à justifier ses prétentions conformément à l’art. 429 al. 2 CPP (ATF 146 IV 332 consid. 1.3 et les références citées ; TF 6B_677/2020 du 8 octobre 2020 consid. 2.2, SJ 2021 I 98 ; TF 1B_370/2018 du 10 décembre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