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371 vom 29. November 2019</w:t>
      </w:r>
    </w:p>
    <w:p>
      <w:r>
        <w:t>VD Tribunal cantonal, 2019-11-29, FR</w:t>
      </w:r>
    </w:p>
    <w:p>
      <w:r>
        <w:rPr>
          <w:b/>
        </w:rPr>
        <w:t xml:space="preserve">Quelle: </w:t>
      </w:r>
      <w:r>
        <w:t>https://mcp.opencaselaw.ch/entscheid/vd_findinfo_Jug___2022___371</w:t>
      </w:r>
    </w:p>
    <w:p>
      <w:r>
        <w:t>FR: VD_FINDINFO Jug / 2022 / 371 du 29 novembre 2019</w:t>
      </w:r>
    </w:p>
    <w:p>
      <w:r>
        <w:t>IT: VD_FINDINFO Jug / 2022 / 371 del 29 novembre 2019</w:t>
      </w:r>
    </w:p>
    <w:p>
      <w:pPr>
        <w:pStyle w:val="Heading2"/>
      </w:pPr>
      <w:r>
        <w:t>Regeste</w:t>
      </w:r>
    </w:p>
    <w:p>
      <w:r>
        <w:t>DÉCISION D'IRRECEVABILITÉ, RÉVISION{DÉCISION} | 410 al. 1 let. a CPP (CH), 412 al. 2 CPP (CH)</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2 e phr.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 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du 1 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 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réf. cit.). Le refus d'entrer en matière s'impose alors pour des motifs d'économie de procédure, car si la situation est évidente, il n'y a pas de raison que l'autorité requière des déterminations (art. 412 al.</w:t>
      </w:r>
    </w:p>
    <w:p>
      <w:r>
        <w:rPr>
          <w:b/>
        </w:rPr>
        <w:t>E. 1.2.1</w:t>
      </w:r>
    </w:p>
    <w:p>
      <w:r>
        <w:t>et réf. cit.). Le motif de révision d’emblée non vraisemblable se conçoit en lien avec l’examen des faits et des moyens de preuves invoqués à l’appui de la demande de révision. 2. Dans sa demande, T.________ fait valoir que les jours qu’il a exécutés en détention préventive n’ont pas été comptabilisés correctement sur la « fiche d’écrou ». Il revient sur des peines privatives de liberté qu’il a exécutées en lien avec des condamnations antérieures au jugement du Tribunal correctionnel du 29 novembre 2018 et sur les 82 jours de détention provisoire déduits de la peine privative de liberté prononcée par ce jugement, dont il requiert encore une déduction pour les jours de détention passés dans des conditions illicites et la comptabilisation de ceux-ci sur la « fiche d’écrou ». Le requérant semble ainsi contester le chiffre II du dispo­sitif du jugement du Tribunal correctionnel en tant qu’il déduit 82 jours de déten­tion préventive de la peine privative de liberté de 2 ans prononcée. Le requérant se borne à évoquer des éléments qui étaient connus des autorités judiciaires au moment où celles-ci ont statué. Ce faisant, il ne fait valoir aucun fait ou moyen de preuve nouveau et sérieux au sens de l’art. 410 al. 1 let. a CPP susceptible d’ébranler le raisonnement des premiers juges et de la Cour d’appel pénale, mais discute uniquement un élément déjà traité dans le jugement de première instance et dans le jugement du 12 juin 2020 de la Cour d’appel pénale, et qu’il n’a pas contesté devant le Tribunal fédéral.</w:t>
      </w:r>
    </w:p>
    <w:p>
      <w:r>
        <w:rPr>
          <w:b/>
        </w:rPr>
        <w:t>E. 3</w:t>
      </w:r>
    </w:p>
    <w:p>
      <w:r>
        <w:t>Il résulte de ce qui précède que la demande de révision d’T.________ doit être déclarée irrecevable, sans échange d’écritures (art. 412 al. 2 CPP). Vu le sort de la cause, les frais de la procédure de révision, constitués en l’espèce du seul émolument de jugement, par 550 fr. (art. 21 al. 1 et 22 TFIP [Ta­rif des frais de procédure et indemnités en matière pénale du 28 septembre 2010 ; BLV 312.03.1]), seront mis à la charge du requérant, qui succombe (art. 428 al. 1, 2 e phr.,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