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367 vom 19. August 2022</w:t>
      </w:r>
    </w:p>
    <w:p>
      <w:r>
        <w:t>VD Tribunal cantonal, 2022-08-19, FR</w:t>
      </w:r>
    </w:p>
    <w:p>
      <w:r>
        <w:rPr>
          <w:b/>
        </w:rPr>
        <w:t xml:space="preserve">Quelle: </w:t>
      </w:r>
      <w:r>
        <w:t>https://mcp.opencaselaw.ch/entscheid/vd_findinfo_Jug___2022___367</w:t>
      </w:r>
    </w:p>
    <w:p>
      <w:r>
        <w:t>FR: VD_FINDINFO Jug / 2022 / 367 du 19 août 2022</w:t>
      </w:r>
    </w:p>
    <w:p>
      <w:r>
        <w:t>IT: VD_FINDINFO Jug / 2022 / 367 del 19 agosto 2022</w:t>
      </w:r>
    </w:p>
    <w:p>
      <w:pPr>
        <w:pStyle w:val="Heading2"/>
      </w:pPr>
      <w:r>
        <w:t>Regeste</w:t>
      </w:r>
    </w:p>
    <w:p>
      <w:r>
        <w:t>JUGE UNIQUE, CONTRAVENTION DE POLICE DE DROIT CANTONAL, CHIEN, NULLA POENA SINE LEGE, NE BIS IN IDEM | 1 CP</w:t>
      </w:r>
    </w:p>
    <w:p>
      <w:pPr>
        <w:pStyle w:val="Heading2"/>
      </w:pPr>
      <w:r>
        <w:t>Erwägungen</w:t>
      </w:r>
    </w:p>
    <w:p>
      <w:r>
        <w:rPr>
          <w:b/>
        </w:rPr>
        <w:t>E. 1.1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est recevable.</w:t>
      </w:r>
    </w:p>
    <w:p>
      <w:r>
        <w:rPr>
          <w:b/>
        </w:rPr>
        <w:t>E. 1.2</w:t>
      </w:r>
    </w:p>
    <w:p>
      <w:r>
        <w:t>Le jugement et l’appel ne portant que sur une contravention, l’appel est de la compétence d’un juge unique de la Cour d'appel pénale (art. 14 al. 3 LVCPP [Loi d'introduction du Code de procédure pénale suisse du 19 mai 2009 ; BLV 312.01]). Pour le même motif, il est soumis à la procédure écrite (art. 406 al. 1 let. c CPP).</w:t>
      </w:r>
    </w:p>
    <w:p>
      <w:r>
        <w:rPr>
          <w:b/>
        </w:rPr>
        <w:t>E. 2.1</w:t>
      </w:r>
    </w:p>
    <w:p>
      <w:r>
        <w:t>L’appelant conteste sa condamnation pour contravention à la législation cantonale sur la police des chiens (cf. spéc. consid. 3.3 ci-dessous).</w:t>
      </w:r>
    </w:p>
    <w:p>
      <w:r>
        <w:rPr>
          <w:b/>
        </w:rPr>
        <w:t>E. 2.2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Celle-ci peut, en revanche, revoir librement le droit (TF 6B_786/2020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rPr>
          <w:b/>
        </w:rPr>
        <w:t>E. 2.3</w:t>
      </w:r>
    </w:p>
    <w:p>
      <w:r>
        <w:t>Selon l’art. l’art. 9 al. 1 let. c de la Loi sur la police des chiens (LPolC, BLV 133.75), tout propriétaire de chien est tenu d’annoncer dans les deux semaines à la banque de données et à l'administration communale tout changement d’adresse. Aux termes de l’art. 3 al. 1 du règlement d’application de la LPolC (RLPolC, BLV 133.75.1), chaque chien doit porter un collier ou une médaille indiquant le nom et les coordonnées du détenteur ; les exigences communales d'identification restent réservées. A teneur de l’art. 34 LPolC, sans préjudice de l'application des autres mesures prévues par la présente loi, toute infraction à l'une de ses dispositions est passible de l'amende jusqu'à 20'000 francs.</w:t>
      </w:r>
    </w:p>
    <w:p>
      <w:r>
        <w:rPr>
          <w:b/>
        </w:rPr>
        <w:t>E. 3.1</w:t>
      </w:r>
    </w:p>
    <w:p>
      <w:r>
        <w:t>L’appelant invoque d’abord une violation du principe nulla poena sine lege .</w:t>
      </w:r>
    </w:p>
    <w:p>
      <w:r>
        <w:rPr>
          <w:b/>
        </w:rPr>
        <w:t>E. 3.2</w:t>
      </w:r>
    </w:p>
    <w:p>
      <w:r>
        <w:t>Selon l’art. 1 CP, une peine ou une mesure ne peuvent être prononcées qu’en raison d’un acte expressément réprimé par la loi. L’art. 1 CP consacre le principe de la légalité ( nulla poena sine lege ). Ce principe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L'exigence de précision ( nulla poena sine lege certa ) constitue l'une des facettes du principe de la légalité. Elle impose que le comportement réprimé soit suffisamment circonscrit (TF 6B_795/2010 du 10 mai 2011 consid. 1.3 et les arrêts cités).</w:t>
      </w:r>
    </w:p>
    <w:p>
      <w:r>
        <w:rPr>
          <w:b/>
        </w:rPr>
        <w:t>E. 3.3</w:t>
      </w:r>
    </w:p>
    <w:p>
      <w:r>
        <w:t>A l’instar de nombre de lois spéciales cantonales (Loi sur l'aménagement du territoire et les constructions [LATC, BLV 700.11], par exemple [cf. art. 130 de la loi]) ou fédérales (Loi fédérale sur la circulation routière [LCR, RS 741.01], par exemple [cf. art. 90 ss de la loi]), la Loi sur la police des chiens contient une disposition pénale générale, soit son art. 34, déjà cité. Le règlement d’application décrit les modalités d’application de la loi selon une délégation de compétence claire du législateur en faveur du Conseil d’Etat, laquelle figure à l’art. 8 LPolC. En effet, l’al. 1 de cette disposition prévoit que le Conseil d’Etat règle l’identification des chiens et leur enregistrement ; pour ce qui est des modalités d’application, l’art. 8 al. 2 LPolC dispose que le Conseil d’Etat règle notamment (a) les conditions auxquelles il reconnaît une banque de données, notamment quant à son contenu et à sa qualité, (b) l'accès aux données et (c) l'utilisation des données. Les art. 9 al. 1 let. c LPolC et 3 al. 1 RLPolC, déjà cités, décrivent ainsi avec précision les obligations du propriétaire de chien qui ont été enfreintes en l’espèce, et que l’appelant ne conteste pas matériellement. Le prévenu ne nie pas davantage que la banque de données AMICUS repose sur la base légale constituée par l’art. 8 al. 2 LPolC. La violation de ces normes tombe sous le coup de l’art. 34 LPolC. Comme le relève à juste titre le Tribunal de police, le RLPolC ne fait donc que décrire plus précisément le comportement réprimé, mais ne définit pas d’infraction propre. Ainsi que l’observe également le premier juge, l’articulation entre la loi et le règlement d’application s’effectue comme entre la LCR et l’OCR (cf. ci-dessus). On ne discerne ainsi aucune violation du principe nulla poena sine lege .</w:t>
      </w:r>
    </w:p>
    <w:p>
      <w:r>
        <w:rPr>
          <w:b/>
        </w:rPr>
        <w:t>E. 4.1</w:t>
      </w:r>
    </w:p>
    <w:p>
      <w:r>
        <w:t>L’appelant invoque ensuite une violation du principe ne bis in idem .</w:t>
      </w:r>
    </w:p>
    <w:p>
      <w:r>
        <w:rPr>
          <w:b/>
        </w:rPr>
        <w:t>E. 4.2</w:t>
      </w:r>
    </w:p>
    <w:p>
      <w:r>
        <w:t>Selon le principe 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Ce droit est consacré à l'art. 11 al. 1 CPP et découle en outre implicitement de la Constitution fédérale. Il est par ailleurs garanti par l'art. 4 al. 1 du Protocole n° 7 à la CEDH (RS 0.101.07), par l'art. 14 al. 7 du Pacte-ONU II (RS 0.103.2 ; ATF 144 IV 362 consid. 1.3.2 p. 366 ; ATF 137 I 363 consid 2.1 p. 365 ; TF 6B_157/2019 du 11 mars 2019 consid. 2).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362 précité consid. 1.3.2 p. 366 ; ATF 137 I précité consid. 2.2 p. 366 ; ATF 125 II 402 consid. 1b p. 404 ; TF 6B_279/2018 du 27 juillet 2018 consid. 1.1 ; TF 6B_1053/2017 du 17 mai 2018 consid. 4.1). L'interdiction de la double poursuite constitue un empêchement de procéder, dont il doit être tenu compte à chaque stade de la procédure (ATF 144 IV précité consid. 1.3.2 p. 366). L'interdiction de la double punition ne déploie ses effets que si le juge du premier procès avait la compétence d'examiner les faits sous toutes les qualifications envisageables (ATF 122 la 257 consid. 3 ; Favre/Pellet/Stoudmann, Code pénal annoté, 3 e éd., Lausanne 2007/2011, n. 1.20 ad art. 1 CP). Le justiciable ne peut exiger que les faits qui lui sont reprochés soient jugés par une seule autorité dans une seule et même procédure (ATF 119 Ib 311 consid. 3c ; Favre/Pellet/ Stoudmann, op. cit., n. 1.23 ad art. 1 CP).</w:t>
      </w:r>
    </w:p>
    <w:p>
      <w:r>
        <w:rPr>
          <w:b/>
        </w:rPr>
        <w:t>E. 4.3</w:t>
      </w:r>
    </w:p>
    <w:p>
      <w:r>
        <w:t>En l’espèce, comme l’a observé le premier juge, l’appelant a bénéficié d’une procédure de classement pour une contravention de droit communal et a été condamné par la décision attaquée pour une contravention de droit cantonal, selon des procédures distinctes de la compétence d’autorité distinctes. L’art. 3 al. 1, seconde phrase, RLPolC, déjà cité, précise d’ailleurs que les exigences communales d'identification restent réservées. On ne discerne ainsi aucune violation du principe ne bis in idem .</w:t>
      </w:r>
    </w:p>
    <w:p>
      <w:r>
        <w:rPr>
          <w:b/>
        </w:rPr>
        <w:t>E. 4.4</w:t>
      </w:r>
    </w:p>
    <w:p>
      <w:r>
        <w:t>Enfin, la quotité de l’amende n’est pas contestée, pas plus que ne l’est la peine privative de liberté de substitution .</w:t>
      </w:r>
    </w:p>
    <w:p>
      <w:r>
        <w:rPr>
          <w:b/>
        </w:rPr>
        <w:t>E. 5</w:t>
      </w:r>
    </w:p>
    <w:p>
      <w:r>
        <w:t>En définitive, l’appel doit être rejeté et le jugement entrepris confirmé. Les frais de la procédure d’appel, constitués en l’espèce du seul émolument de jugement, par 540 fr. (art. 21 al. 1 TFIP [Tarif des frais de procédure et indemnités en matière pénale du 28 septembre 2010 ; BLV 312.03.1]), sont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