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364 vom 11. Januar 2022</w:t>
      </w:r>
    </w:p>
    <w:p>
      <w:r>
        <w:t>VD Tribunal cantonal, 2022-01-11, FR</w:t>
      </w:r>
    </w:p>
    <w:p>
      <w:r>
        <w:rPr>
          <w:b/>
        </w:rPr>
        <w:t xml:space="preserve">Quelle: </w:t>
      </w:r>
      <w:r>
        <w:t>https://mcp.opencaselaw.ch/entscheid/vd_findinfo_Jug___2022___364</w:t>
      </w:r>
    </w:p>
    <w:p>
      <w:r>
        <w:t>FR: VD_FINDINFO Jug / 2022 / 364 du 11 janvier 2022</w:t>
      </w:r>
    </w:p>
    <w:p>
      <w:r>
        <w:t>IT: VD_FINDINFO Jug / 2022 / 364 del 11 gennaio 2022</w:t>
      </w:r>
    </w:p>
    <w:p>
      <w:pPr>
        <w:pStyle w:val="Heading2"/>
      </w:pPr>
      <w:r>
        <w:t>Regeste</w:t>
      </w:r>
    </w:p>
    <w:p>
      <w:r>
        <w:t>LIBERTÉ DE RÉUNION, ENTRAVE AUX SERVICES D'INTÉRÊT GÉNÉRAL, LIBERTÉ D'EXPRESSION, AUTORISATION DE POLICE, EXCUSABILITÉ, LIBERTÉ DE MANIFESTATION, MANIFESTATION | 14 CP, 239 CP, 286 CP, 47 CP, 49 al. 1 CP, 16 Cst., 22 Cst., 10 CPP (CH), 41 RGP</w:t>
      </w:r>
    </w:p>
    <w:p>
      <w:pPr>
        <w:pStyle w:val="Heading2"/>
      </w:pPr>
      <w:r>
        <w:t>Erwägungen</w:t>
      </w:r>
    </w:p>
    <w:p>
      <w:r>
        <w:rPr>
          <w:b/>
        </w:rPr>
        <w:t>E. 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n’a pas réitéré ses réquisitions de preuve à l’audience. Quoi qu’il en soit, ces réquisitions n’étaient pas nécessaires au jugement de la cause, dès lors qu’elles tendaient à établir la réalité de l’urgence climatique, fait qui n’est pas contesté mais qui est sans pertinence pour juger des infractions dénoncées, de sorte que c’est à juste titre que la direction de la procédure a écarté ces réquisitions (art. 139 al. 2 CPP en relation avec l’art. 389 al. 3 CPP).</w:t>
      </w:r>
    </w:p>
    <w:p>
      <w:r>
        <w:rPr>
          <w:b/>
        </w:rPr>
        <w:t>E. 3.2</w:t>
      </w:r>
    </w:p>
    <w:p>
      <w:r>
        <w:t>L’appelant n’a pas non plus réitéré en audience sa réquisition tendant à la jonction de toutes les procédures relatives à la manifestation du 27 septembre 2019. Cela étant, cette réquisition n’était pas motivée et était imprécise, puisque l’identité des prévenus et des causes auxquelles l’appelant aimerait voir sa procédure jointe n’était pas mentionnée. Quoi qu’il en soit, la requête tendant à réunir un grand nombre de causes en une procédure judiciaire unique est incompatible avec le principe de célérité consacré à l’art. 5 al. 1 CPP et contreviendrait au principe d’économie de la procédure. A cet égard, la jurisprudence et la doctrine admettent que le nombre élevé de coprévenus rendant la conduite d'une procédure unique trop difficile constitue un motif objectif justifiant la disjonction de causes (cf. par exemple CAPE 14 septembre 2022/281 consid. 3 et les références citées). Or, en l’occurrence, la tenue et le déroulement d’un procès réunissant un grand nombre de personne serait indéniablement compromis pour des raisons évidentes d’organisation. Au demeurant, dans le cas d’espèce, on ne voit pas en quoi un des intéressés serait susceptible de rejeter la faute sur les autres, et en quoi il existerait un risque d’aboutir à des jugements contradictoires. En effet, les participants à la manifestation en cause sont poursuivis en raison de comportements individuels et ne s'accusent pas mutuellement. Il ne s'agit ainsi pas de déterminer quelle part tel ou tel manifestant aurait prise dans la commission d'une infraction dont le déroulement serait contesté, mais de déterminer si chacun, pris individuellement, a réalisé les éléments constitutifs de telle ou telle infraction . Il résulte de ce qui précède que le requête de jonction de causes doit être rejetée. Le raisonnement qui précède a au demeurant été confirmé récemment par le Tribunal fédéral en ce qui concerne la manifestation du 27 septembre 2022 notamment (cf. TF 6B_655/2022 du 31 août 2022 consid. 1).</w:t>
      </w:r>
    </w:p>
    <w:p>
      <w:r>
        <w:rPr>
          <w:b/>
        </w:rPr>
        <w:t>E. 4</w:t>
      </w:r>
    </w:p>
    <w:p>
      <w:r>
        <w:t>L’appelant paraît contester les faits, en tant qu’il a soutenu à l’audience d’appel na pas avoir été au courant de ce que la manifestation n’était pas autorisée. De même, a-t-il – nouvellement – déclaré qu’il s’était levé de lui-même lorsque la police avait voulu procéder à l’évacuation des lieux entre 14h15 et 14h30.</w:t>
      </w:r>
    </w:p>
    <w:p>
      <w:r>
        <w:rPr>
          <w:b/>
        </w:rPr>
        <w:t>E. 4.1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RS 0.101)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ATF 145 IV 154 consid. 1.1; ATF 144 IV 345 consid. 2.2.3.3, JdT 2019 IV 147).</w:t>
      </w:r>
    </w:p>
    <w:p>
      <w:r>
        <w:rPr>
          <w:b/>
        </w:rPr>
        <w:t>E. 4.2</w:t>
      </w:r>
    </w:p>
    <w:p>
      <w:r>
        <w:t>En l’espèce, entendu par le Ministère public le 15 novembre 2019, K.________ a répondu par l’affirmative à la question de savoir s’il était exact qu’il avait participé à la manifestation, qu’il avait à tout le moins à une reprise été sommé de quitter les lieux et qu’il avait ensuite été contrôlé par la police (PV aud. 1, p. 2). Aux débats de première instance, il a déclaré qu’il estimait que la manifestation était autorisée, et qu’il n’avait pas quitté les lieux lorsque les forces de l’ordre le lui avaient demandé, car il estimait que la manifestation était autorisée et aussi en raison de l’effet de groupe (jugt. p. 5). En réalité, et cela résulte de la suite des déclarations de l’appelant à l’audience d’appel, il s’avère qu’il considérait son action légitime et que peu lui importait ce que lui avait dit la police quant à l’illicéité de la manifestation, après qu’elle se soit scindée. Il ne peut par conséquent soutenir qu’il ignorait que la manifestation à laquelle il participait au moment de son interpellation n’était pas autorisée, à tout le moins dès le moment où la police a procédé à des injonctions en ce sens, notamment au moyen de mégaphones. L’appelant a par ailleurs expressément reconnu à l’audience d’appel que les forces de l’ordre avaient indiqué que l’action de blocage de la rue n’était pas autorisée. Il y a donc lieu de retenir que K.________ savait parfaitement, au moment où il a participé à l’action de blocage, que la manifestation n’était pas autorisée à cet endroit et encore moins selon les modalités d’exécution mises en œuvre. C’est également de façon peu crédible que l’appelant soutient s’être levé de lui-même ensuite des injonctions de la police et donc implicitement que la police n’a pas dû faire usage de moyens de contrainte contre lui. En effet, l’appelant a reconnu en première instance qu’il n’avait pas obtempéré aux injonctions de la police, notamment parce qu’il estimait que son action était légitime. En appel, il a déclaré avoir participé à l’action de blocage – soit qu’il se trouvait sur la route, agrippé aux autres manifestants, ce qui avait pour effet de la bloquer – par conviction et parce qu’une conférence était en cours. Il résulte par ailleurs du rapport de police qu’à 13h55, le commandant de la police a intimé l'ordre aux manifestants de libérer la chaussée et de se disperser dans un délai de dix minutes, au terme duquel, toute personne interpellée serait déférée au procureur compétent. Or, à l’issue du délai fixé, le blocage de la chaussée persistait et, dès 14h05, la police a dû procéder à l'évacuation par la contrainte de quarante-huit manifestants – dont K.________ faisait partie – restés assis et enchevêtrés, alors que les autres participants ont pu être simplement refoulés. Il en résulte que la version de l’appelant selon laquelle il aurait obtempéré de lui-même sans que l’usage de la force ait été nécessaire doit être écartée, puisque si tel avait été le cas il n’aurait pas été interpellé, à l’instar des autres manifestants qui n’ont pas participé au blocage. Enfin, l’appelant a déclaré « s’être levé » entre 14h15 et 14h30, ce qui confirme bien qu’il faisait partie du groupe de manifestants ayant dû être désenchevêtrés de force par la police dès 14h05. Pour le surplus, ainsi qu’on le verra ci-après, le fait que K.________ soit potentiellement l’un des premiers manifestants à avoir été interpellé – puisqu’il soutient, sans que ce fait nouveau soit établi, avoir été séparé du groupe entre 14h15 et 14h30 – ne change rien à la qualification juridique qu’il convient d’appliquer. En définitive, il convient donc de retenir que K.________ avait parfaitement conscience du fait que la manifestation à laquelle il participait n’était pas autorisée au moment et à l’endroit où il a été interpellé, de même que l’action de blocage qu’il a menée au mépris des injonctions de la police, l’appelant devant être évacué de force par celle-ci.</w:t>
      </w:r>
    </w:p>
    <w:p>
      <w:r>
        <w:rPr>
          <w:b/>
        </w:rPr>
        <w:t>E. 5</w:t>
      </w:r>
    </w:p>
    <w:p>
      <w:r>
        <w:t>L’appelant conclut à son acquittement, invoquant la liberté de réunion et d’expression, soit la liberté de manifester, en lien avec l’art. 14 CP. Il soutient en substance que l’état de nécessité lié au péril climatique l’autorisait à agir ainsi qu’il  l’a fait, dès lors qu’il s’agirait de la défense d’intérêts légitimes et primordiaux, le moyen utilisé étant nécessaire, approprié et proportionné. Selon lui, il s’agissait de la seule manière possible d’agir pour exprimer son opinion.</w:t>
      </w:r>
    </w:p>
    <w:p>
      <w:r>
        <w:rPr>
          <w:b/>
        </w:rPr>
        <w:t>E. 5.1.1</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TF 6B_1056/2013 du 20 août 2014 consid. 4; TF 6B_758/2011 du 24 septembre 2012 consid. 1.3). La jurisprudence considère que le concept de loi qui figure à l'art. 14 CP s'entend dans le sens matériel du terme (ATF 94 IV 5 consid. 1). Le point de savoir si une norme de rang constitutionnel, dans la mesure où elle déploie des effets horizontaux, constitue une loi au sens de l'art. 14 CP, n'a pas été tranché (cf. TF 6B_1020/2018 du 1 er juillet 2019 consid 2.1; TF 6B_1056/2013 du 20 août 2014 consid. 4; TF 6B_758/2011 du 24 septembre 2012 consid. 1.3.1). Consacrée par l’art. 21 de la Constitution du Canton de Vaud du 14 avril 2003 (Cst-VD; BLV 101.01), la liberté de manifestation n’est pas garantie en tant que telle par la Constitution fédérale et le Tribunal fédéral ne l’a pas non plus reconnue comme droit constitutionnel non écrit. La doctrine et la jurisprudence (cf. ci-dessous) admettent en revanche que les manifestations sont protégées par une combinaison de la liberté d’opinion (art. 16 Cst.) et de la liberté de réunion (art. 22 Cst.) (Uebersax, La liberté de manifestation, in : RDAF 2006 I 28; cf. aussi ATF 143 I 147 consid. 3.1 et 3.2 et les références citées, JdT 2017 I 107).</w:t>
      </w:r>
    </w:p>
    <w:p>
      <w:r>
        <w:rPr>
          <w:b/>
        </w:rPr>
        <w:t>E. 5.1.2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L'art. 11 § 1 CEDH (en relation avec l'art. 10 CEDH), qui consacre notamment le droit de toute personne à la liberté de réunion et à la liberté d'association, offre des garanties comparables;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 re phrase CEDH).</w:t>
      </w:r>
    </w:p>
    <w:p>
      <w:r>
        <w:rPr>
          <w:b/>
        </w:rPr>
        <w:t>E. 5.1.3</w:t>
      </w:r>
    </w:p>
    <w:p>
      <w:r>
        <w:t>Dans un arrêt récent, le Tribunal fédéral a rappelé qu’il existait en principe, sur la base de la liberté d'opinion, d'information et de réunion, un droit conditionnel à l'usage accru du domaine public pour des manifestations avec appel au public.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Plus simplement, il s'agit d'assurer l'utilisation adéquate des installations publiques disponibles dans l'intérêt de la collectivité et du voisinage ainsi que de limiter l'atteinte portée par la manifestation aux libertés des tiers non-manifestants (TF 6B_655/2022 du 31 août 2022 consid. 4.3). Toujours dans le même arrêt, le Tribunal fédéral a confirmé que les autorités devaient pouvoir sanctionner les participants à une manifestation non autorisée, sans quoi une procédure d'autorisation serait illusoire (arrêt de la CourEDH Ziliberberg c. Moldova , du 1 er février 2005, n° 61821/00). Il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(TF 6B_655/2022 du 31 août 2022 consid. 4.4.1). Le fait qu'une manifestation n'a pas été autorisée ne permet pas à la police de la dissoudre par tous les moyens (arrêt précité consid. 4.4.2). Selon la CourEDH, les autorités doivent faire preuve d'une certaine tolérance à l'égard des rassemblements pacifiques, ce qui implique une pesée des intérêts en présence (arrêts de la CourEDH Kudrevicius et autres c. Lituanie [GC] du 15 octobre 2015, § 150;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Les actions de blocage peuvent donner lieu à des condamnations pénales (TF 6B_655/2022 du 31 août 2022 consid. 4.5). Ainsi, le Tribunal fédéral a confirmé la condamnation pour contrainte (art. 181 CP), à des amendes allant de 500 fr. à 2'000 fr., d’activistes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voir aussi Barraco c. France , §§ 46-47).</w:t>
      </w:r>
    </w:p>
    <w:p>
      <w:r>
        <w:rPr>
          <w:b/>
        </w:rPr>
        <w:t>E. 5.2</w:t>
      </w:r>
    </w:p>
    <w:p>
      <w:r>
        <w:t>Dans le cas d’espèce, il ressort du rapport de police que les forces de l’ordre ont, durant la manifestation du 27 septembre, effectué une pesée des intérêts entre les impératifs de maintenir une circulation aussi fluide que possible dans une ville de taille importante, d’une part, et la liberté d’expression et de réunion des manifestants, d’autre part. Loin d’être immédiate, l’intervention de la police a été différée et a relevé d’une démarche de désescalade et d’apaisement; en témoigne en particulier le fait que les agents n’avaient pas revêtu la tenue anti-émeute. Les manifestants se sont ainsi vu offrir une possibilité suffisante d'exprimer leurs opinions et de quitter les lieux une fois que l'ordre leur en avait été donné, ce que K.________ n’a pas fait, estimant que son action était légitime et – selon ses propres déclarations – mû par l’effet de groupe. Aussi bien, certains participants aux rassemblements ont alors obtempéré. La police n’a délogé les manifestants demeurés sur place qu’après sommations et en faisant usage de moyens proportionnés à l’entrave au trafic découlant des rassemblements sur la voie publique, l’usage commun du domaine public des autres usagers de la route (notamment des conducteurs de véhicules) ayant été totalement entravé sur l’avenue en question pour une longue durée. Les autorités ont ainsi fait preuve de la tolérance commandée par les circonstances. Du reste, le nombre des personnes finalement interpellées est largement inférieur à celui des manifestants. Par conséquent, au vu des critères d’appréciation posés par le Tribunal fédéral (cf. consid. 5.2.4 ci-dessus), l’appelant ne peut pas se réclamer d’un droit de manifester, impliquant donc un usage accru du domaine public, en rapport avec la liberté d’expression ou la liberté de réunion, respectivement de tout autre droit de rang constitutionnel, pour échapper à la poursuite pénale (cf., quant à un cas similaire, CAPE 29 août 2022/216 consid. 5.2). A l’évidence, l’appelant a eu largement l’occasion d’exprimer ses opinions le jour en question dans le cadre de la manifestation autorisée, comme l’ont fait la quasi-totalité des participants qui se sont déplacés à Lausanne. Force est de constater qu’il a adopté un comportement excédant les limites de ce qui lui était nécessaire pour exprimer ses opinions en manifestant, et ce sans respecter les injonctions des forces de l’ordre, agissant ainsi de façon disproportionnée et sans motif justificatif suffisant.</w:t>
      </w:r>
    </w:p>
    <w:p>
      <w:r>
        <w:rPr>
          <w:b/>
        </w:rPr>
        <w:t>E. 5.3</w:t>
      </w:r>
    </w:p>
    <w:p>
      <w:r>
        <w:t>L’appelant conteste que l’infraction d’entrave aux services d’intérêt général soit réalisée et qu’une violation des prescriptions routières puisse être retenue contre lui. Il soutient que l’avenue de Rhodanie était fermée de 10h à 14h et la circulation de toute manière déviée. Ainsi, même si le débordement avait eu lieu hors du parcours autorisé de la manifestation, il avait quoi qu’il en soit eu lieu sur une avenue fermée de sorte qu’il ne pouvait pas y avoir eu de blocage ni d’entrave au trafic. Par ailleurs, pour qu’une entrave puisse être retenue, l’appelant soutient que celle-ci doit être d’une certaine durée, ce qui n’était pas le cas. Il se prévaut à cet égard de ses déclarations selon lesquelles il aurait été désenchevêtré entre 14h15 et 14h30, et soutient que la rue ne pouvait pas être bloquée avant 14h et que la durée comprise entre 14h et 14h15 voire 14h30 est insuffisante.</w:t>
      </w:r>
    </w:p>
    <w:p>
      <w:r>
        <w:rPr>
          <w:b/>
        </w:rPr>
        <w:t>E. 5.3.1</w:t>
      </w:r>
    </w:p>
    <w:p>
      <w:r>
        <w:t>Selon l’art. 239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infractions en droit suisse, Vol. II, 3 e éd., Berne 2010, n. 6 ad art. 239 CP; Dupuis et al., Petit commentaire du Code pénal, 2 e éd., Bâle 2017, n. 5 ad art. 239 CP). La loi mentionne à titre d’exemple l’entreprise de chemin de fer, ainsi que celle des postes par le réseau de bus postaux. Il faut également ajouter les entreprises de transport par métro, par tram, par bus, par bateau, par avion, par téléphérique (ATF 85 IV 224 consid. III/2, JdT 1960 IV 51; Dupuis et al., op. cit., n. 5 ad art. 239 CP). Par ailleurs, la perturbation de l’exploitation d’une entreprise publique de transports doit s’étendre sur une certaine durée.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(ATF 119 IV 301).</w:t>
      </w:r>
    </w:p>
    <w:p>
      <w:r>
        <w:rPr>
          <w:b/>
        </w:rPr>
        <w:t>E. 5.3.2</w:t>
      </w:r>
    </w:p>
    <w:p>
      <w:r>
        <w:t>En l’espèce, il résulte du rapport de police, dont il n’y a pas lieu de s’écarter, que le trafic des véhicules, notamment les véhicules d’urgence (police, pompiers, ambulances) et les bus de la ligne n o 2 a dû être dévié sur d’autres artères attenantes. Il est certes vrai que le trajet initialement autorisé de la manifestation prévoyait un passage sur l’avenue de Rhodanie, fermée à cet effet. Il n’en demeure pas moins que la manifestation n’était pas autorisée à cet endroit après que le cortège se soit scindé, alors qu’il devait atteindre sa destination finale – vers 11h50 déjà –, de sorte que l’appelant ne peut pas se prévaloir du fait que l’avenue en question était précédemment fermée et qu’elle l’est restée, puisqu’elle l’est à l’évidence restée en raison du comportement non autorisé des manifestants prolongeant d’autant la perturbation de l’exploitation normale des services de transport publics. Il en résulte que, pas son comportement, l’appelant a bien entravé la circulation des transports publics. Les perturbations induites par ce comportement ont par ailleurs été suffisamment importantes pour tomber sous le coup de l’art. 239 CP. En effet, la manifestation a duré plusieurs heures et s’est déroulée sur l’un des axes les plus fréquentés de la ville de Lausanne. Ce sont donc pour le moins des centaines d’usagers des transports publics qui ont été impactés. L’appelant ne peut pas non plus se prévaloir d’avoir été l’un des premiers manifestants à avoir été désenchevêtré, et donc de n’avoir pas perturbé les services d’intérêt général et la circulation routière sur une durée suffisante. En premier lieu, ses déclarations faites en appel selon lesquelles il aurait été séparé des autres manifestants aux alentours de 14h15 ou 14h30 sont nouvelles et apparaissent avoir été dictées par des considérations tactiques et sont par conséquent peu crédibles. Quoi qu’il en soit, les perturbations ont duré jusqu’à 16h15 et, même si l’on devait admettre que l’appelant était effectivement l’un des premiers manifestants à avoir été évacué par la force, il y a lieu de constater qu’il a participé à l’action commune de blocage, qui a duré jusqu’à 16h15. Il doit ainsi être considéré comme coauteur de dite action, à laquelle il a apporté son concours de façon active et déterminante, au contraire des autres participants à la manifestation dont l’interpellation n’a pas été nécessaire. Il ne fait au demeurant aucun doute que l’intéressé serait resté agrippé au reste du groupe s’il n’avait pas été évacué plus rapidement, puisque tel est précisément le but de la manœuvre de blocage du « sit-in &amp; tortues » à laquelle il a participé. Il convient donc de retenir que l’appelant a agi avec conscience et volonté, les éléments constitutifs objectifs et subjectifs de l’art. 239 CP étant réalisés. Quant à la violation simple des règles de la circulation routière, elle résulte du blocage des autres moyens de transport routier – étant précisé que les art. 239 ch. 1 CP et 90 al. 1 LCR entrent en concours idéal compte tenu du fait qu’ils protègent des biens juridiques différents (CAPE 31 janvier 2022/95 consid. 8.3 ; CAPE 17 juin 2021/185 consid. 6.1.3) –, pour les mêmes motifs que ceux qui ont été exposés en page 20 du jugement et auxquels il y a lieu de renvoyer (art. 82 al. 4 CPP), l’appelant opposant en substance les mêmes griefs, qui doivent donc être rejetés.</w:t>
      </w:r>
    </w:p>
    <w:p>
      <w:r>
        <w:rPr>
          <w:b/>
        </w:rPr>
        <w:t>E. 6</w:t>
      </w:r>
    </w:p>
    <w:p>
      <w:r>
        <w:t>L’appelant conteste implicitement sa condamnation pour empêchement d’accomplir un acte officiel. Il soutient s’être levé de lui-même et n’avoir ainsi pas dû être évacué par la force.</w:t>
      </w:r>
    </w:p>
    <w:p>
      <w:r>
        <w:rPr>
          <w:b/>
        </w:rPr>
        <w:t>E. 6.1</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(ATF 127 IV 115 consid. 2, JdT 2006 IV 252; ATF 120 IV 136 consid. 2a et les références citées, JdT 1995 I 720). Il n’est en revanche pas nécessaire que l’auteur parvienne à éviter effectivement l’accomplissement de l’acte officiel, il suffit qu’il le rende plus difficile, l’entrave ou le diffère (ATF 127 IV 115 précité; ATF 124 IV 127 consid. 3a; TF 6B_89/2019 du 17 mai 2019 consid. 1.1.1;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ATF 127 IV 115 précité et les références citées) qui est réalisée, par exemple, par le fait de prendre la fuite (ATF 120 IV 136 précité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(Corboz, Les infractions en droit suisse, vol. II, 3 e éd., Berne 2010, n. 13 ad art. 286 CP; TF 6B_89/2019 précité). Selon la jurisprudence, imposer sa présence dans une salle pour empêcher une autorité d’y tenir séance constitue, par une action, une opposition aux actes de l’autorité (TF 6B_354/2021 du 1 er novembre 2021; TF 6B_89/2019 précité; ATF 107 IV 113 consid. 4 p).</w:t>
      </w:r>
    </w:p>
    <w:p>
      <w:r>
        <w:rPr>
          <w:b/>
        </w:rPr>
        <w:t>E. 6.2</w:t>
      </w:r>
    </w:p>
    <w:p>
      <w:r>
        <w:t>En l’occurrence, comme cela a été retenu au consid. 4.2 ci-avant, la – nouvelle – version de l’appelant selon laquelle il se serait levé de lui-même sans que la police ait dû user de la contrainte contre lui doit être écartée, compte tenu de ses déclarations faites en première instance, soit qu’il n’avait pas obtempéré aux injonctions de la police estimant son action légitime, et du fait qu’il a admis avoir participé à l’action de blocage consistant à s’agripper à un groupe de manifestants. Les moyens de l’appelant pour s’opposer à cette condamnation doivent donc être écartés et il y a lieu de retenir que l’intéressé a opposé une résistance physique aux forces de l’ordre afin d’éviter son évacuation, en dépit de l’injonction adressée aux manifestants par la police de quitter les lieux de leur propre mouvement. Cette résistance dépasse la simple désobéissance pour constituer une obstruction physique. Elle a impliqué une évacuation par la force. K.________ a ainsi agi avec conscience et volonté, les éléments constitutifs objectifs et subjectifs de l’infraction à l’art. 286 CP étant réalisés (cf. la casuistique citée par Dupuis et alii [éd.], op. cit., n. 11 ad art. 286 CP).</w:t>
      </w:r>
    </w:p>
    <w:p>
      <w:r>
        <w:rPr>
          <w:b/>
        </w:rPr>
        <w:t>E. 7</w:t>
      </w:r>
    </w:p>
    <w:p>
      <w:r>
        <w:t>S’agissant de la contravention à l’art. 41 RGP (règlement général de police de la Commune de Lausanne), l’appelant invoque une violation du principe de la légalité. Il soutient en substance que le RGP ne contient pas de disposition qui concernerait le simple participant à une manifestation mais vise le seul organisateur, et que ledit règlement ne prévoit au demeurant pas de sanction.</w:t>
      </w:r>
    </w:p>
    <w:p>
      <w:r>
        <w:rPr>
          <w:b/>
        </w:rPr>
        <w:t>E. 7.1</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L’art. 8 LContr (loi sur les contraventions du 19 mai 2009; BLV 312.11) prévoit la poursuite et le jugement simultané des contraventions de droit cantonal et des crimes et délits. De façon générale, l’entrave à la police ne peut être réprimée par une norme cantonale que si elle n’a pas atteint l’intensité requise par l’art. 286 CP (cf. TF 6B_1295/2020 du 26 mai 2021 consid. 5.5 in fine ; TF 6B_602/2009 du 29 septembre 2009 consid. 4.2). Selon l’art. 25 LContr, les contraventions réprimées par l'autorité municipale sont passibles d'une amende de 500 fr. au plus, contre chaque contrevenant, sous réserve des cas où la loi prévoit un montant inférieur.</w:t>
      </w:r>
    </w:p>
    <w:p>
      <w:r>
        <w:rPr>
          <w:b/>
        </w:rPr>
        <w:t>E. 7.2</w:t>
      </w:r>
    </w:p>
    <w:p>
      <w:r>
        <w:t>En l’espèce, c’est à tort que l’appelant soutient que seul l’organisateur pourrait être un contrevenant à l’art. 41 RGP. Une telle interprétation aurait pour conséquence que seule une manifestation structurée et qui se tient malgré un refus d’autorisation serait passible d’une sanction du chef de l’art. 41 RGP. Si l’art. 41 RGP n’était applicable qu’aux organisateurs, alors que, précisément, c’est souvent le propre des manifestations non autorisées d’être dépourvues d’organisateurs identifiables, aucune contravention ne pourrait être constatée pour l’art. 41 RGP, qui resterait lettre morte, la finalité du règlement, expressément mentionnée à l’art. 43 RGP n’étant pas atteinte. Il faut dès lors admettre que les participants à une manifestation non autorisée sont des contrevenants à l’art. 41 RGP, ne serait-ce qu’en qualité de coauteurs. En l’occurrence, comme exposé au consid. 4.2, à tout le moins dès les sommations de la police, K.________ ne pouvait ignorer que la manifestation était interdite au moment et à l’endroit où il a participé à l’action de blocage. Il y a participé néanmoins, avec conscience et volonté, de sorte que sa condamnation pour contravention au RGP doit être confirmée. Dite condamnation découle au demeurant de l’art. 25 LContr, expressément mentionné dans le dispositif du jugement, de sorte qu’on ne discerne aucune violation du principe de la légalité.</w:t>
      </w:r>
    </w:p>
    <w:p>
      <w:r>
        <w:rPr>
          <w:b/>
        </w:rPr>
        <w:t>E. 8</w:t>
      </w:r>
    </w:p>
    <w:p>
      <w:r>
        <w:t>L’appelant ne conteste pas, en tant que telle, la peine pécuniaire à laquelle il a été condamné, laquelle doit cependant être revue d’office, tout comme l’amende.</w:t>
      </w:r>
    </w:p>
    <w:p>
      <w:r>
        <w:rPr>
          <w:b/>
        </w:rPr>
        <w:t>E. 8.1.1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L’art. 34 al. 1 CP prévoit que sauf disposition contraire, la peine pécuniaire est de trois jours-amende au moins et ne peut excéder cent huitante jours-amende. Le juge fixe leur nombre en fonction de la culpabilité de l’auteur. 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8.1.2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8.2</w:t>
      </w:r>
    </w:p>
    <w:p>
      <w:r>
        <w:t>Le premier juge a retenu que la culpabilité de K.________ pouvait être qualifiée de légère, la manifestation ayant été autorisée et les actions intervenues en marge de celle-ci ayant ainsi provoqué un trouble moindre que s’il n’y avait pas eu de manifestation autorisée du tout; les forces de l’ordre n’ont pas totalement été prises au dépourvu. Il a en outre tenu compte du fait que les motivations du prévenu avaient pour but de défendre une cause idéale, même si cela ne justifiait pas de violer les normes sociétales, ni de s’opposer aux forces de police. Ces considérations peuvent être reprises par la Cour de céans, et il se justifiait donc d’infliger au prévenu une peine de faible quotité, de l’ordre de 10 jours-amende chacun pour les deux délits commis par K.________, soit une peine de 20 jours-amende au total. Quant au montant du jour-amende, arrêté à 30 fr., celui-ci ne prête pas le flanc à la critique, l’intéressé n’ayant pas de revenu. Il en va de même de l’amende de 300 fr. sanctionnant les contraventions. Quant aux conditions du sursis, elles sont réunies, le délai d’épreuve de deux ans étant également justifié. La peine pécuniaire et l’amende prononcées en première instance doivent donc être confirmées.</w:t>
      </w:r>
    </w:p>
    <w:p>
      <w:r>
        <w:rPr>
          <w:b/>
        </w:rPr>
        <w:t>E. 9</w:t>
      </w:r>
    </w:p>
    <w:p>
      <w:r>
        <w:t>Au vu de ce qui précède, l’appel de K.________ doit être rejeté et le jugement entrepris confirmé. Vu l’issue de la cause, les frais de la procédure d’appel, par 3’120 fr., constitués des émoluments de jugement et d’audience (art. 21 al. 1 et 2 TFIP [Tarif des frais de procédure et indemnités en matière pénale du 28 septembre 2010; BLV 312.03.1]), seront mis à la charge de K.________,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