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35 vom 29. Juni 2021</w:t>
      </w:r>
    </w:p>
    <w:p>
      <w:r>
        <w:t>VD Tribunal cantonal, 2021-06-29, FR</w:t>
      </w:r>
    </w:p>
    <w:p>
      <w:r>
        <w:rPr>
          <w:b/>
        </w:rPr>
        <w:t xml:space="preserve">Quelle: </w:t>
      </w:r>
      <w:r>
        <w:t>https://mcp.opencaselaw.ch/entscheid/vd_findinfo_Jug___2022___35</w:t>
      </w:r>
    </w:p>
    <w:p>
      <w:r>
        <w:t>FR: VD_FINDINFO Jug / 2022 / 35 du 29 juin 2021</w:t>
      </w:r>
    </w:p>
    <w:p>
      <w:r>
        <w:t>IT: VD_FINDINFO Jug / 2022 / 35 del 29 giugno 2021</w:t>
      </w:r>
    </w:p>
    <w:p>
      <w:pPr>
        <w:pStyle w:val="Heading2"/>
      </w:pPr>
      <w:r>
        <w:t>Regeste</w:t>
      </w:r>
    </w:p>
    <w:p>
      <w:r>
        <w:t>RUPTURE DE BAN, CONSTATATION DES FAITS, INTERDICTION DE L'ARBITRAIRE, PEINE PRIVATIVE DE LIBERTÉ, EXPULSION{DROIT DES ÉTRANGERS}, EXPULSION{DROIT PÉNAL} | 177 CP, 291 CP</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de X.________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3.1</w:t>
      </w:r>
    </w:p>
    <w:p>
      <w:r>
        <w:t>L'appelant conteste sa condamnation pour injure. Il fait valoir une constatation erronée des faits. Il relève que l'agent [...] n'a été entendu ni par la police, ni par le Procureur, ni aux débats de première instance, que le rapport de dénonciation a été établi par un autre agent et qu'une confusion n'est pas exclue de la part de l'agent [...]. Enfin il relève que malgré les nombreuses condamnations figurant à son casier judiciaire, il n'a jamais été condamné pour avoir proféré des injures.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177 CP, celui qui, de tout autre manière, aura par la parole, l'écriture, l'image, le geste ou par des voies de fait, attaqué autrui dans son honneur sera, sur plainte, puni d'une peine pécuniaire de 90 jours-amende au plus. Selon l'art. 10 de la Loi fédérale sur les organes de sécurité des entreprises de transports publics du 18 juin 2010 (RS 745.2), les infractions réprimées par le code pénal et commises envers des personnes chargées de tâches liées à la sécurité dans l'exercice de leur fonction sont poursuivies d'office.</w:t>
      </w:r>
    </w:p>
    <w:p>
      <w:r>
        <w:rPr>
          <w:b/>
        </w:rPr>
        <w:t>E. 3.3</w:t>
      </w:r>
    </w:p>
    <w:p>
      <w:r>
        <w:t>Un rapport de dénonciation a été établi le 23 août 2019 par l'agt [...]. Il mentionne notamment ce qui suit : « Le lundi 5 août 2019, lors de notre patrouille dans le train 18455 circulant de Genève en direction de Vevey, nous avons effectué un contrôle des titres de transport. Nous avons procédé au contrôle d'un individu sans billet de train valable, nous lui avons demandé de nous présenter une pièce d'identité. L'homme a été identifié sur la base d'une décision d'octroi d'aide urgence comme étant le dénommé X.________, né le [...] 1987, ressortissant libyen domicilié au foyer EVAM à l'avenue Général-Guisan 62, à Vevey. Nous avons décidé de poursuivre la suite des contrôles en gare de Coppet. Lors de notre appel auprès du bureau de renseignements de la police vaudoise, il s'est avéré que Monsieur X.________ est ressorti positif au contrôle RIPOL pour expulsion. De ce fait, nous avons procédé à une fouille de sécurité puis nous avons menotté monsieur X.________ en attendant qu'une patrouille de la police cantonale vaudoise vienne le chercher... Il sied de préciser que durant notre intervention, Monsieur X.________ a été particulièrement agressif verbalement avec l'agent [...]. Il lui a notamment proféré l'injure « niques ta mère » à plusieurs reprises... Le contrôle a été effectué par les agents [...] (chef de patrouille) et [...].» A la lecture de ce rapport, l'appelant a été clairement identifié par les agents lors de leur intervention, l'identité constatée dans le rapport de dénonciation étant la même que celle figurant dans le jugement attaqué (nom, prénom, date de naissance et pays d’origine notamment). De plus, l'agent signataire du rapport de dénonciation accompagnait l'agent [...] lors des faits, de sorte que le fait que ce ne soit pas l’agent signataire du rapport qui ait été directement visé par les injures proférées est sans incidence sur la crédibilité du contenu de ce rapport. Enfin, aucun élément du dossier ne permet de douter des constatations et allégations des agents [...] et [...]. Dans ces conditions, la condamnation pour injure doit être confirmée.</w:t>
      </w:r>
    </w:p>
    <w:p>
      <w:r>
        <w:rPr>
          <w:b/>
        </w:rPr>
        <w:t>E. 4.1</w:t>
      </w:r>
    </w:p>
    <w:p>
      <w:r>
        <w:t>L'appelant conteste ensuite sa condamnation pour rupture de ban, au motif que le Service de la population (SPOP) ne serait en l'état pas en mesure de pouvoir exécuter son expulsion, des démarches liées à son identification étant toujours en cours. Il fait valoir qu’en l’absence d’un visa ou d’une autorisation de séjour valable, il ne serait pas autorisé à entrer dans un pays limitrophe à la Suisse et qu’il serait dès lors tenu de demeurer sur le territoire helvétique aussi longtemps que la procédure administrative ne serait pas close. Il se prévaut également de la Directive du Parlement européen et du Conseil du 16 décembre 2008 relative aux normes et procédures communes applicables dans les Etats membres au retour des ressortissants de pays tiers en séjour irrégulier, faisant valoir qu’il ne fait l’objet d’aucune procédure administrative de renvoi en l’état, et qu’un renvoi en Lybie serait pour le moment objectivement impossible.</w:t>
      </w:r>
    </w:p>
    <w:p>
      <w:r>
        <w:rPr>
          <w:b/>
        </w:rPr>
        <w:t>E. 4.2.1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 1191/2019 du 4 décembre 2019 consid. 5.1 ; TF 6B_559/2008 du 12 septembre 2008 consid. 2.2 ; ATF 70 IV 174, qui conserve sa pertinence pour les étrangers expulsés). La rupture de ban est un délit continu qui est réalisé aussi longtemps que dure le séjour illicite (ATF 135 IV 6 consid. 3.2 p. 9 ; 104 IV 186 consid. lb p. 188 ; TF 6B_559/2008 du 12 septembre 2008 consid. 2.2).</w:t>
      </w:r>
    </w:p>
    <w:p>
      <w:r>
        <w:rPr>
          <w:b/>
        </w:rPr>
        <w:t>E. 4.2.2</w:t>
      </w:r>
    </w:p>
    <w:p>
      <w:r>
        <w:t>La Directive 2008/115/CE du Parlement européen et du Conseil du 16 septembre 2008 relative aux normes et procédures communes applicables dans les États membres au retour des ressortissants de pays tiers en séjour irrégulier (ci-après: Directive 2008/115 ; Directive sur le retour) a été reprise par la Suisse, par arrêté fédéral du 18 juin 2010 (Arrêté fédéral portant approbation et mise en œuvre de l'échange de notes entre la Suisse et la Communauté européenne concernant la reprise de la Directive CE 2008/115/CE sur le retour ; RS 0.362.380.042 ; JO L 348 du 24 décembre 2008 p. 98 ; RO 2010 5925).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 TF 6B_1365/2019 du 11 mars 2020 consid. 2.3.1 et 2.3.4). Un tel genre de peine ne peut entrer en ligne de compte que lorsque toutes les mesures raisonnables pour l'exécution de la décision de retour ont été entreprises (cf. art. 6, 7, 8, 15 et 16 de la Directive 2008/115 ; ATF 143 IV 249 consid. 1.9 p. 260). Compte tenu des objectifs visés par la Directive 2008/115 (notamment fixer des règles communes applicables au retour et à l'éloignement des ressortissants d'États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ont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commis en concours avec un séjour illégal, indépendamment des mesures mises en œuvre pour le renvoi effectif de l'intéressé (ATF 143 IV 264 consid. 2 et 3 ; cf. TF 6B_1189/2015 du 13 octobre 2016 consid. 2.1 et 6B_320/2013 du 29 août 2013 consid. 3). Cette approche a été suivie dans d'autres cas de séjour illégal commis en concours avec le non-respect d'une interdiction de périmètre fondée sur l'art. 74 al. 1 let. a LEI (art. 115 al. 1 let. b cum 119 al. 1 LEI ; TF 6B_912/2017 du 4 octobre 2017 consid. 1.2 ; TF 6B_1078/2016 du 29 août 2017 consid. 2) ou avec l'exercice d'une activité lucrative sans autorisation (art. 115 al. 1 let. b cum 115 al. 1 let. c LEI; TF 6B_118/2017 du 14 juillet 2017 consid. 4.4 ; TF 6B_196/2012 du 24 janvier 2013 consid. 2.2). Selon la Cour de justice de l'Union européenne (ci-après: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points 52 ss, 62 ss et 93 ; du 6 décembre 2011 C-329/11 Achughbabian, Rec. 2011 1-12709 points 36 ss, 46 ss, 50 ; du 28 avril 2011 C-61/11 El Dridi, Rec. 20111-3017 points 52 ss, 58 ss, 62).</w:t>
      </w:r>
    </w:p>
    <w:p>
      <w:r>
        <w:rPr>
          <w:b/>
        </w:rPr>
        <w:t>E. 4.3</w:t>
      </w:r>
    </w:p>
    <w:p>
      <w:r>
        <w:t>L'appelant doit être condamné pour rupture de ban, les conditions étant réalisées. En effet, X.________ est resté – ou plutôt revenu, comme on le verra ci-dessous – sur le territoire suisse malgré la décision d’expulsion du territoire helvétique pour une durée de 5 ans prononcée par jugement rendu le 27 octobre 2017 par le Tribunal de police de l’arrondissement de Lausanne. Se pose alors la question de savoir si une peine privative de liberté peut ou non réprimer le comportement de l’appelant. A cet égard, le raisonnement de l’appelant selon lequel il serait tenu de demeurer sur le territoire helvétique aussi longtemps que la procédure administrative ne serait pas close n’est pas relevant dès lors qu’il convient de rappeler ici que, depuis le prononcé de la mesure d’expulsion, X.________ a admis avoir quitté le territoire suisse à au moins deux reprises (PV aud. 1, p. 2, lignes 35-36), soit postérieurement à la mesure d'expulsion. Il a exposé qu’il ne serait plus retourné en France parce qu’en raison de la pandémie de COVID, « tout était fermé » et qu’il ne peut dès lors plus partir. A cela s’ajoute que le casier judiciaire de l’appelant mentionne que l'expulsion a été exécutée le 8 septembre 2018 : « 08.09.2018, expulsion du canton de Vaud, début de l'expulsion pour départ volontaire ». Cet épisode pourrait correspondre aux faits décrits par X.________ dans son audition par le Ministère public en date du 24 juin 2020 (PV aud. 1, p. 2, lignes 40 ss), selon lesquels il aurait été intercepté par la police dans le train en Suisse, qu’il aurait reçu « un carton jaune » qui « sert pour sortir de Suisse » et qu’il se serait rendu à Annemasse pour déposer ce carton jaune. A la lecture de ces événements et de l’inscription au casier judiciaire, on doit considérer que les autorités administratives ont mené la procédure d'expulsion – de renvoi – jusqu'à son terme. Ainsi, à la différence des prévenus dans les affaires TF 6B_106/2016 (séjour illégal) et TF 6B_1398/2020 (qui traite spécifiquement de l'expulsion et de la rupture de ban), l’appelant a donc quitté le territoire suisse après la décision de renvoi dont la procédure a donc été exécutée avec succès. Ainsi, même si depuis son retour et conformément à ce qui ressort des différentes correspondances du Service de la population (SPOP), ce service ne serait pas en mesure d’exécuter l'expulsion judiciaire prononcée à l'encontre du prévenu, aucun document de voyage n'étant disponible et des démarches liées à son identification étant toujours en cours depuis le 4 décembre 2014, force est d’admettre que l’appelant est volontairement entré dans notre pays après en avoir été expulsé alors qu’il savait faire l’objet d’une telle décision et pendant la durée de validité de celle-ci, demeurant en Suisse depuis lors. La procédure d’expulsion ayant été menée à bien une première fois en 2018, il n’y a pas lieu d’exiger des autorités une nouvelle procédure complète d’expulsion pour condamner l’intéressé à une peine privative de liberté. Il serait en effet pour le moins paradoxal d’admettre que l’étranger condamné pour rupture de ban à une peine privative de liberté pour ne pas avoir respecté une décision d’expulsion valablement exécutée soit ensuite moins sévèrement sanctionné pour la même infraction alors qu’il a volontairement recréé la situation dans laquelle il se trouve aujourd’hui et sans que l’on puisse imputer une quelconque responsabilité aux autorités. La situation de l’appelant n’interdit donc pas, au regard de la jurisprudence rappelée ci-dessus, le prononcé d’une peine privative de liberté.</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5.3</w:t>
      </w:r>
    </w:p>
    <w:p>
      <w:r>
        <w:t>L’appelant doit être reconnu coupable d’injure, de rupture de ban et de contravention à la Loi fédérale sur le transport de voyageurs. La contravention doit être sanctionnée par une amende, l’injure par une peine pécuniaire et la rupture de ban par une peine privative de liberté. Au vu de la culpabilité non négligeable de l’appelant, dont on rappellera qu’il a treize antécédents pénaux, notamment en matière de vols, dommages à la propriété, recel, violation de domicile, infraction à la Loi sur les étrangers et rupture de ban, et faute d’élément à sa décharge hormis le fait qu’il a déclaré ne plus avoir eu – d’autres – comportements répréhensibles depuis deux ans, et qu’il a admis les conclusions civiles de la partie plaignante, c’est une peine privative de liberté de 30 jours qui doit être prononcée pour sanctionner la rupture de ban et une peine pécuniaire de 20 jours-amende, le montant du jour-amende étant arrêté à 10 fr., qui doit être prononcée pour sanctionner l'injure. Ces peines ne sauraient être assorties du sursis, le pronostic étant clairement défavorable au regard des nombreux antécédents (art. 42 al. 1 CP). Le montant de l'amende fixée en première instance, soit 300 fr., pour sanctionner la contravention à la Loi fédérale sur le transport de voyageurs ne prête pas le flanc à la critique et doit être confirmée.</w:t>
      </w:r>
    </w:p>
    <w:p>
      <w:r>
        <w:rPr>
          <w:b/>
        </w:rPr>
        <w:t>E. 6</w:t>
      </w:r>
    </w:p>
    <w:p>
      <w:r>
        <w:t>Au vu de ce qui précède, l’appel doit être rejeté et le jugement attaqué confirmé. Me Benjamin Schwab, défenseur d’office de X.________, a droit une indemnité d’office pour la procédure d’appel. Celle-ci sera arrêtée à 593 fr. 20, débours et TVA compris, sur la base d’une durée d’activité utile d’avocat de trois heures, au tarif horaire de 180 fr., auxquels s'ajoutent des débours forfaitaires de 2 % par 10 fr. 80 et la TVA au taux de 7,7 % sur le tout par 42 fr. 40. Vu l’issue de la cause, les frais de la procédure d'appel, constitués en l’espèce de l’émolument de jugement, par 1’650 fr. (art. 21 al. 1 TFIP [tarif des frais de procédure et indemnités en matière pénale du 28 septembre 2010 ; BLV 312.03.1]), ainsi que de l'indemnité due au défenseur d'office , par 593 fr. 20, seront mis à la charge de X.________, qui succombe (art. 428 al. 1 CPP). X.________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