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344 vom 11. Oktober 2022</w:t>
      </w:r>
    </w:p>
    <w:p>
      <w:r>
        <w:t>VD Tribunal cantonal, 2022-10-11, FR</w:t>
      </w:r>
    </w:p>
    <w:p>
      <w:r>
        <w:rPr>
          <w:b/>
        </w:rPr>
        <w:t xml:space="preserve">Quelle: </w:t>
      </w:r>
      <w:r>
        <w:t>https://mcp.opencaselaw.ch/entscheid/vd_findinfo_Jug___2022___344</w:t>
      </w:r>
    </w:p>
    <w:p>
      <w:r>
        <w:t>FR: VD_FINDINFO Jug / 2022 / 344 du 11 octobre 2022</w:t>
      </w:r>
    </w:p>
    <w:p>
      <w:r>
        <w:t>IT: VD_FINDINFO Jug / 2022 / 344 del 11 ottobre 2022</w:t>
      </w:r>
    </w:p>
    <w:p>
      <w:pPr>
        <w:pStyle w:val="Heading2"/>
      </w:pPr>
      <w:r>
        <w:t>Regeste</w:t>
      </w:r>
    </w:p>
    <w:p>
      <w:r>
        <w:t>MEURTRE, INTENTION, ADMISSION PARTIELLE, FIXATION DE LA PEINE, PEINE PRIVATIVE DE LIBERTÉ, PEINE PÉCUNIAIRE, PEINE D'ENSEMBLE, PEINE COMPLÉMENTAIRE, DÉPENS, SURSIS PARTIEL À L'EXÉCUTION DE LA PEINE, HOMICIDE PAR NÉGLIGENCE, VIOLATION DES RÈGLES DE L'ART DE CONSTRUIRE, VIOLATION DES RÈGLES DE LA CIRCULATION, NÉGLIGENCE | 111 CP, 117 CP, 12 al. 2 CP, 12 al. 3 CP, 229 CP, 34 CP, 40 CP, 43 CP, 44 al. 1 CP, 46 al. 1 CP, 46 al. 2 CP, 49 al. 1 CP, 49 al. 2 CP, 90 al. 2 LCR, 398 al. 3 let. a CPP (CH), 433 al. 1 CPP(CH)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[Code de procédure pénale suisse du 5 octobre 2007 ; RS 312.0]), les appels de Q.________, de A.Y.________ et B.Y.________,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3.1</w:t>
      </w:r>
    </w:p>
    <w:p>
      <w:r>
        <w:t>Le Ministère public conclut à la condamnation de Q.________ pour meurtre. Il soutient qu’en persistant à enfreindre les règles de sécurité durant des années, chantier après chantier, alors qu’il connaissait le risque de lésions graves ou mortelles auquel ses ouvriers étaient ainsi exposés en cas de chute, le prévenu se serait accommodé de la survenance d’un accident grave ou fatal, au sens du dol éventuel, et que le risque s’étant finalement produit avec la chute mortelle d’un ouvrier, Q.________ devait être reconnu coupable de meurtre.</w:t>
      </w:r>
    </w:p>
    <w:p>
      <w:r>
        <w:rPr>
          <w:b/>
        </w:rPr>
        <w:t>E. 3.2.1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2 e éd., Bâle 2017, n. 18 ad art. 111 CP et les auteurs cités).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op. cit., n. 10 ad art. 12 CP et réf. cit.). Ces trois formes correspondent à un comportement intentionnel au sens de l’art. 12 al. 2 CP. 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déterminer plus précisément les devoirs imposés par la prudence, on peut se référer à des normes édictées par l'ordre juridique pour assurer la sécurité et éviter des accidents (ATF 143 IV 138 consid. 2.1). En l'absence de règles légales spécifiques, il doit être tenu compte des règles édictées par des associations privées ou semi-publiques pour réglementer un domaine particulier ou une activité donnée, par exemple dans le domaine de la construction, les règles de la SUVA pour la prévention des accidents professionnels (Dupuis et al., op. cit., n. 21 ad art. 117 CP).</w:t>
      </w:r>
    </w:p>
    <w:p>
      <w:r>
        <w:rPr>
          <w:b/>
        </w:rPr>
        <w:t>E. 3.2.2</w:t>
      </w:r>
    </w:p>
    <w:p>
      <w:r>
        <w:t>Agit par dol éventuel, celui qui envisage le résultat dommageable, mais agit néanmoins, manifestant par là qu'il s'en accommode pour le cas où il se produirait, même s'il ne le souhaite pas (ATF 137 IV 1 consid. 4.2.3, JdT 2011 IV 238 ; ATF 135 IV 152 consid. 2.3.2 ; ATF 130 IV 58 consid. 8.2 et réf. cit.). Il faut donc un risque qu'un dommage puisse résulter de l'infraction, mais encore que l'auteur sache que ce danger existe et qu'il s'accommode de ce résultat, même s'il préfère l'éviter (ATF 134 IV 26 consid. 3.2.2 et 3.2.4). Que l’auteur ait l’espoir que l’infraction ne se produise pas ne suffit ainsi pas pour exclure le dol éventuel. Celui-ci ne suppose pas nécessairement que la survenance du résultat soit très probable, mais seulement possible même si cette possibilité ne se réalise que relativement rarement d'un point de vue statistique (ATF 131 IV 1 consid. 2.2). La négligence consciente se distingue du dol éventuel par l'élément volitif. Dans le cas de la négligence consciente, l’auteur croit par imprudence que le résultat qu’il a envisagé comme possible ne se produira pas et qu’ainsi le risque de réaliser l’infraction ne se concrétisera pas ; peu importe qu’il fasse preuve de frivolité en écartant cette possibilité et en pensant qu’il ne se passera rien (ATF 130 IV 58 consid. 8.3). Ainsi, dans le cas de la négligence consciente, l’auteur ne veut ni n’accepte l’éventualité que l’infraction se réalise ; il est convaincu que la chance lui permettra d’y échapper. L’auteur envisage le risque, mais décide d’agir néanmoins, parce qu’il a confiance dans la non-réalisation du risque. Peu importe qu’il se trompe lourdement, parce que la gravité de sa négligence n’a pas pour effet de transformer celle-ci en intention (Villard/Corboz, in Macaluso et al. [éd.], Commentaire romand, Code pénal I, 2017 [CR-CP I], ad art. 12 n. 72 et les auteurs cités).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ATF 130 IV 58 consid. 8.3 ; ATF 125 IV 242 consid. 3c ; TF 6B_850/2017 du 22 février 2018). La distinction entre le dol éventuel et la négligence consciente peut parfois s'avérer délicate, notamment parce que, dans les deux cas, l'auteur est conscient du risque de survenance du résultat.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133 IV 9 consid. 4.1 ; ATF 130 IV 58 consid. 8.4 ; ATF 125 IV 242 consid. 3c). Il faut néanmoins qu’il parvienne à s’en convaincre. Le Tribunal fédéral admet que, dans le domaine des actions dangereuses, le dol éventuel ne doit être admis qu’avec retenue. Dans le doute, il faut retenir, s’agissant d’une question de fait, qu’il y a seulement eu une négligence consciente (Niggli/ Maeder, in : Niggli/Wiprächtiger [éd.], Basler Kommentar, Strafrecht I, 4 e éd., Bâle 2019, n. 62 ad art. 12). Pour distinguer entre dol éventuel et négligence consciente, Niggli et Maeder proposent de se demander si, dans l’hypothèse dans laquelle le résultat prohibé par la norme ne se serait pas produit, l’auteur devrait ou non, être poursuivi pour tentative (Niggli/Maeder, op. cit., ad art. 12 nn. 63 ss).</w:t>
      </w:r>
    </w:p>
    <w:p>
      <w:r>
        <w:rPr>
          <w:b/>
        </w:rPr>
        <w:t>E. 3.2.3</w:t>
      </w:r>
    </w:p>
    <w:p>
      <w:r>
        <w:t>En vertu de l’art. 82 LAA (Loi fédérale sur l’assurance-accidents du 20 mars 1981 ; RS 832.20), l’employeur est tenu de prendre, pour prévenir les accidents et maladies professionnels, toutes les mesures dont l’expérience a démontré la nécessité, que l’état de la technique permet d’appliquer et qui sont adaptées aux conditions données (al. 1). L’employeur doit faire collaborer les travailleurs aux mesures de prévention des accidents et maladies professionnels (al. 2).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(al. 3). Selon l’art. 3 OPA (Ordonnance fédérale du 19 décembre 1983 sur la prévention des accidents et des maladies professionnelles ; RS 832.30),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w:t>
      </w:r>
    </w:p>
    <w:p>
      <w:r>
        <w:rPr>
          <w:b/>
        </w:rPr>
        <w:t>E. 3.3</w:t>
      </w:r>
    </w:p>
    <w:p>
      <w:r>
        <w:t>Les premiers juges ont écarté la prévention de meurtre, faute d’inten­tion. Ils ont considéré que Q.________ connaissait parfaitement le risque de mort encouru par ses ouvriers, qu’il le tenait pour possible et que son comportement était révélateur de l’acceptation de ce risque. Ils ont retenu que la violation des règles de sécurité imputable au prévenu était proprement impression­nante, savoir en particulier laisser ses ouvriers accéder à un toit et opérer sur un toit non résistant à leur poids, ne pas prévoir de dispositifs rattrapant la chute à travers et au bord du toit, ne pas équiper les ouvriers de matériel individuel adéquat leur permettant de s’assurer, ne pas les instruire sur la manière de s’en servir ni sur les dangers encou­rus et ne pas intervenir personnelle­ment pour s’assurer de la situation. La persis­tance de Q.________ à ne pas vouloir se soumettre à ses obligations en matière de sécurité a laissé le Tribunal criminel pantois, puisque la SUVA lui avait donné les indications nécessaires sur ce même toit sept ans plus tôt, qu’elle était intervenue depuis lors sur plusieurs de ses chantiers pour rappeler les mêmes règles, jugeant la situation si grave sur l’un d’eux qu’elle avait interrompu les travaux séance tenante, et que même à cette occasion, les mesures mises en place par le prévenu avaient été jugées insuffisantes. Le prévenu savait donc de longue date qu’il faisait faux et quelles mesures il devait prendre pour faire juste. L’existence d’un risque mortel découlant de sa manière de procéder ne pouvait échapper au prévenu, qui a persisté dans ses agissements de manière crasse, refusant de voir, jusqu’aux débats, qu’il lui appartenait personnelle­ment de veiller à la sécurité de ses ouvriers, et non pas à ces derniers de simple­ment avoir la responsabilité de s’accrocher à des barres à neige. Etant lui-même du métier, le prévenu ne pouvait ignorer que s’assurer sur une barre à neige inadaptée rendait les opérations plus compliquées, avec la tentation de s’affranchir de cette gêne, à laquelle la victime et son collègue ont en l’occurrence cédé. S’agissant de la volonté du prévenu, le Tribunal criminel a exposé que retenir que le prévenu tenait pour possible la mort d'un ouvrier au point qu'il s'y attendait nécessiterait de connaître plus finement la probabilité que le risque se réa­lise, mais que ce point n’avait pas fait l'objet d'investigations au dossier et qu’il était encore plus difficile de savoir comment le prévenu se représentait subjectivement cette probabilité. Aucun accident n'avait été à déplorer sur les chantiers du prévenu depuis une dizaine d’années, sans quoi la SUVA l’aurait évoqué, et le prévenu n’avait lui-même, selon ses dires, pas connu d’accident en plus de trente ans d’activité. De plus, on ne se trouvait pas dans une prise de risque aussi osée et immédiatement perceptible qu'en matière d'accident de la route. Ainsi, les premiers juges ont retenu que, sur le plan de l'intensité du risque pris, le prévenu pouvait encore, dans son esprit, escompter que le résultat ne se produirait pas. En outre, précisément parce que le prévenu tenait pour suffisant – certes de manière coupable – le fait de s’assurer sur des barres à neige, et ce obstinément jusqu’aux débats, il n’attendait pas le résultat fatal au point qu’il puisse être retenu qu’il le voulait tout en ne l’approu­vant pas. Aussi, même si la violation du devoir de diligence était absolument crasse en l'occurrence, un doute insurmontable existait quant à l'importance du risque pris, doute qui devait profiter au prévenu et faire pencher la balance du côté de la négligence consciente plutôt que du dol éventuel. La Cour de céans doit admettre, comme les premiers juges, que Q.________ n’avait pas accepté l’éventualité que la mort d’un ouvrier se produise.</w:t>
      </w:r>
    </w:p>
    <w:p>
      <w:r>
        <w:rPr>
          <w:b/>
        </w:rPr>
        <w:t>E. 3.3.1</w:t>
      </w:r>
    </w:p>
    <w:p>
      <w:r>
        <w:t>S’agissant tout d’abord de la violation du devoir de prudence par le prévenu, il y a lieu de constater qu’il a violé une multitude de règles de sécurité. Dans leur rapport établi le 17 janvier 2018 à la suite de l’accident litigieux (P. 29/2), les inspecteurs de la SUVA ont constaté, à leur arrivée sur les lieux, qu’aucun filet de sécurité n’avait été installé sous la zone de travail et en bord de toit, que les accès à la zone de travail n’avaient pas été sécurisés, que le matériel de protection indivi­duelle retrouvé sur place était déficient et que les ouvriers ne portaient pas de protection contre l’amiante, même basique comme un masque de protection, alors que des plaques en fibrociment étaient cassées à l’air libre, libérant des fibres. Les inspecteurs ont relevé le non-respect d’une longue liste de normes de sécurité imposées par l’art. 82 LAA, par l’OPA (art. 3, 5, 6, 8, 9, 17, 38, 39, 44 OPA) et par l’Ordonnance fédérale sur la sécurité et la protection de la santé des travailleurs dans les travaux de construction (art. 3, 4, 8, 9, 11, 14, 28, 29, 32, 33, 35, 36, 60 OTConst ; RS 832.311.141). Entendu en qualité de témoin aux débats de première instance, C.________, ingénieur en génie civil et ingénieur de sécurité auprès de la SUVA, a indiqué que le matériel retrouvé sur place était inadapté aux travaux entrepris, en particulier les cordes en chanvre et l’absence d’absorbeur d’énergie de chute, que l’installation d’une ligne de vie où s’accrocher pour se déplacer aurait été inadaptée et qu’une barre à neige ne pouvait pas être utilisée comme point d’ancrage et dispositif de protection contre les chutes (jugement pp. 16-19). La violation par l’appelant des règles précitées est gravissime, d’autant qu’il avait déjà fait l’objet de plusieurs contrôles de la part de la SUVA lors desquels il avait été rendu attentif à ses obligations. Ainsi, entre avril 2010 et juillet 2013, la SUVA est intervenue à cinq reprises sur des chantiers de l’entreprise du prévenu (P. 18/1). Par courrier du 2 juillet 2020, elle a insisté sur l’obligation de l’employeur de mettre à disposition du personnel tous les équipements de sécurité nécessaires en veillant à leur efficacité, tout en attirant l’attention de la société P.________ sur le fait qu’une toiture en fibrociment n’était pas résistante à la rupture et qu’il fallait prendre les mesures qui s’imposaient. De même, lors d’une visite de chantier le 13 juin 2012, l’entreprise du prévenu a reçu l’ordre de la SUVA d’arrêter immédia­tement les travaux entrepris, faute de mesures de protection contre les chutes en bord de toit ; dans son rapport de visite du lendemain, la SUVA a par ailleurs constaté que les deux seuls employés portant des équipements de protection individuelle contre les chutes n’avaient pas été formés correctement à leur usage. P.________ avait alors promis de prendre les dispositions nécessaires, mais celles-ci se sont révélées partielles, engendrant un nouvel ordre d’interruption des travaux en toiture, ainsi qu’un avertissement de premier degré le 20 juin 2012. Le 27 juillet 2013, l’assurance a écrit à P.________, après avoir constaté sur un autre chantier qu’aucune mesure de protection n’avait été installée contre les chutes à l’intérieur du bâtiment et que les surfaces de toiture non résistantes à la rupture n’avaient pas été isolées des zones de travail. Au regard de tous ces éléments, il est évident que le prévenu savait qu’il existait un risque mortel s’il ne mettait pas en place des mesures de protection suffisantes contre les chutes sur ses chantiers.</w:t>
      </w:r>
    </w:p>
    <w:p>
      <w:r>
        <w:rPr>
          <w:b/>
        </w:rPr>
        <w:t>E. 3.3.2</w:t>
      </w:r>
    </w:p>
    <w:p>
      <w:r>
        <w:t>Quant à l’intensité du risque pris et connu par le prévenu, il résulte de l’examen du dossier que, le jour des faits, Q.________ a dit à ses ouvriers de s’assurer aux barres à neige s’ils devaient quitter la nacelle, mesure de sécurité qu’il considérait comme suffisante pour pallier au risque de chute. Aux dé­bats de première instance, le prévenu a déclaré que les barres à neige arrivaient à supporter un sacré poids, qu’elles étaient fixées à une pièce de charpente solide par des clous supportant chacun jusqu’à 100 kilos et que, selon lui, ses ouvriers avaient ou auraient dû avoir avec eux le matériel de sécurité, à savoir un harnais, des mousquetons et une corde pour se fixer à la barre à neige (jugement pp. 20-21). Aux débats d’appel, le prévenu a confirmé qu’il avait ordonné à ses ouvriers de s’attacher aux barres à neige, expliquant qu’un clou de 120 mm pouvait supporter un poids de 120 kg et que les barres à neige étaient fixées au moyen de deux clous. Concernant les équipements individuels, la SUVA a certes exposé ce qui suit dans son rapport (P. 29/2) : « En l’absence de mesure de protection collective, l’employeur avait mis à disposition une partie du matériel pour établir une sécurisation par le biais d’un équipement de protection individuelle contre les chutes. Cependant en l’absence d’une formation ou de l’expérience indispensable, ainsi qu’au manque de matériel nécessaire à la mise en œuvre et à l’utilisation d’équipements de protection individuelle contre les chutes, il apparaît que cette mesure n’aurait pas dû être envisagée. De plus, l’équipement de protection retrouvé en toiture et composé d’un harnais antichute, d’une corde de chanvre (?) et d’un mousqueton (voir photos), n’aurait pas permis de se sécuriser de manière efficace. L’absence d’élément permettant d’absorber l’énergie de la chute, sans parler du choix du point d’ancrage (barre à neige) qui n’est pas prévu pour résister à la force de choc générée lors d’une chute, ne représentent que quelques-unes des lacunes relevées ». Il s’ensuit que l’équipement individuel utilisé par C.Y.________ le jour des faits ne lui assurait pas une sécurité suffisante et efficace, et que cet équipement n’était pas susceptible de pouvoir remplacer les mesures de protection collectives imposées par la législa­tion en vigueur (cf. notamment 8, 28, 33 et 35 OTConst) et qui auraient dû être mises en place par le prévenu. Reste que, selon ses déclarations, le prévenu pensait, évidement à tort et malgré les mises en garde de la SUVA, que les employés étaient suffisamment sécurisés, soit en travaillant depuis la nacelle, soit en œuvrant attachés aux barres à neige. Lors des débats de première instance, E.________, ancien employé de P.________, a également relaté que le prévenu leur disait de s’attacher, qu’il savait que ce n’était pas toujours le cas, qu’il n’était pas satisfait, que les ouvriers s’exécutaient alors et s’attachaient, puis se détachaient dès que le patron avait le dos tourné. Par ailleurs, il convient également de relever que le prévenu n’a jamais connu d’accident au sein de son entreprise en plus de 30 ans d’activité et que la SUVA n’a pas non plus relevé de tels incidents. Au vu de tous ces éléments, la Cour de céans retiendra que, comme à son habitude, le prévenu, certes très imprudent, escomptait que le résultat ne se produi­rait pas, bien qu’il l’ait envisagé comme possible. Aussi, même si la violation des devoirs de prudence qui s’imposaient au prévenu est particulièrement grave, il existe un doute sur l’importance du risque pris, de sorte que l’on doit admettre, à l’instar des premiers juges, que le prévenu n’a pas accepté l’éventualité que la chute mortelle d’un de ses ouvriers se réalise. Partant, on ne discerne aucune intention de la part de Q.________ et le chef d’accusation de meurtre ne peut être retenu. Mal fondé, l’appel du Ministère public doit être rejeté.</w:t>
      </w:r>
    </w:p>
    <w:p>
      <w:r>
        <w:rPr>
          <w:b/>
        </w:rPr>
        <w:t>E. 4.1</w:t>
      </w:r>
    </w:p>
    <w:p>
      <w:r>
        <w:t>Q.________ conteste la peine infligée à son encontre, soutenant qu’elle serait arbitrairement sévère, et requiert l’octroi d’un sursis complet. Il estime que les premiers juges n’ont pas suffisamment tenu compte, lors de la fixation de la peine, de son état de santé, de son âge et de ses antécédents, et du fait qu’il a mis fin à son activité commerciale.</w:t>
      </w:r>
    </w:p>
    <w:p>
      <w:r>
        <w:rPr>
          <w:b/>
        </w:rPr>
        <w:t>E. 4.2.1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4.2.2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Le prononcé d'une peine complémentaire suppose que les conditions d'une peine d'ensemble au sens de l'art. 49 al. 1 CP soient réunies.</w:t>
      </w:r>
    </w:p>
    <w:p>
      <w:r>
        <w:rPr>
          <w:b/>
        </w:rPr>
        <w:t>E. 4.2.4</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6B_529/2019 du 5 juin 2019 consid. 3.1 ; TF 6B_1227/2015 du 29 juillet 2016 consid. 1.2.1).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TF 6B_317/2020 du 1 er juillet 2020 consid. 4.1).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Pour savoir si les peines prononcées cumulativement doivent l'être avec ou sans sursis, il ne faut pas se fonder sur la sanction comprenant dans son ensemble une peine privative de liberté et une peine pécuniaire, comme en cas d'absorption de peines du même genre, mais il y a plutôt lieu de considérer chaque peine pour elle-même (ATF 138 IV 120 consid. 6).</w:t>
      </w:r>
    </w:p>
    <w:p>
      <w:r>
        <w:rPr>
          <w:b/>
        </w:rPr>
        <w:t>E. 4.2.5</w:t>
      </w:r>
    </w:p>
    <w:p>
      <w:r>
        <w:t>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 er mai 2020 consid. 3.1).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(TF 6B_514/2019 du</w:t>
      </w:r>
    </w:p>
    <w:p>
      <w:r>
        <w:rPr>
          <w:b/>
        </w:rPr>
        <w:t>E. 4.3</w:t>
      </w:r>
    </w:p>
    <w:p>
      <w:r>
        <w:t>Q.________ s’est rendu coupable d’homicide par négli­gence – passible d’une peine privative de liberté de 3 ans au plus ou d’une peine pécuniaire –, de violation intentionnelle des règles de l’art de construire – passible d’une peine privative de liberté de 3 ans au plus ou d’une peine pécuniaire, et en cas de peine privative de liberté, d’une peine pécuniaire additionnelle – et de violation grave des règles de la circulation routière – passible d’une peine privative de liberté de 3 ans au plus ou d’une peine pécuniaire. La culpabilité du prévenu est importante. Il n’a jamais veillé au respect des règles de sécurité au sein de son entreprise, et ce malgré plusieurs avertisse­ments donnés par la SUVA. Il n’a jamais dispensé de formation à ses employés, que ce soit pour les travaux en hauteur ou pour l’utilisation du matériel de sécurité, alors que les deux ouvriers qui travaillaient sur le chantier litigieux n’étaient pas du métier de la construction – E.________ était boucher et C.Y.________ était menuisier – et que cela aurait été facilement réalisable. Il a fait fi des règles de sécurité de la branche de la construction dans laquelle il travaillait pourtant depuis son apprentis­sage, soit depuis trente ans, démon­trant par ses agissements que la vie humaine avait pour lui moins d’importance que la poursuite des affaires de son entreprise. En dépit des rappels maintes fois répétés de la SUVA de procéder différemment et de mettre en place des mesures de protection, le prévenu s’est obstiné dans ses pratiques erronées et dangereuses, sans se soucier des graves conséquences que celles-ci pouvaient avoir. Aux débats de première instance comme à l’audience d’appel, le prévenu a persisté à mettre la faute sur sa victime en arguant qu’il avait dit à ses ouvriers de s’attacher s’ils quittaient la nacelle, cherchant encore à minimiser son implication et refusant d’admettre qu’il était responsable de la chute fatale de C.Y.________. Le prévenu a certes fait preuve d’une maladresse proche de l’offense en manifestant une forme de compassion à la souffrance des proches de C.Y.________, mais il n’a absolument pas pris conscience de l’importance de son implication dans l’accident litigieux, ni du fait qu’il faisait prendre au quotidien de très gros risques aux ouvriers de son entreprise. La persévérance du prévenu à violer les règles de la circulation routière dénote également son mépris de l’ordre juridique qui s’impose à tous et des autres usagers de la route auxquels il fait prendre de sérieux risques en commettant des excès de vitesse. A décharge, il sera tenu compte des reconnais­sances de dette que le prévenu a signées en faveur des parties plaignan­tes et du frère de la victime, lequel n’avait pas déposé de conclu­sions civiles. A l’instar des premiers juges, la Cour de céans retiendra que le prévenu n’est pas un homme sans cœur, mais qu’il est frustre et prisonnier de ses traits de caractère qui, nonobstant la perte d’un frère à la suite d’un accident de la route, ne le dissuadent pas de commettre de nouvelles violations grossières du code de la route. A décharge, il sera également tenu compte du mauvais état de santé du prévenu et du fait qu’il a cessé ses activités depuis l’accident et que la faillite de son entreprise a été prononcée. Au vu de la gravité des fautes commises, de l’antécé­dent du prévenu pour violation grave des règles de la circulation routière de 2018 et de l’absence de prise de conscience du prévenu, le prononcé d’une peine privative de liberté s’impose pour des motifs de prévention spéciale. L’infraction d’homicide par négligence, qui constitue abstraitement l’infraction la plus grave, justifie à elle seule le prononcé d’une peine privative de liberté de 23 mois. Par l’effet du concours, cette peine doit être augmentée d’un mois pour la violation intentionnelle des règles de l’art de construire, infraction relevant du même état de fait que l’homicide par négligence sanctionnant déjà le prévenu pour le non-respect des règles de sécurité qui s’imposaient à lui pour protéger ses ouvriers. S’agissant des deux infractions de violation grave des règles de la circulation – un excès de vitesse de 34 km/h sur un tronçon où la vitesse était limitée à 60 km/h et un excès de 28 km/h dans une localité où la vitesse était limitée à 50 km/h –, elles justifient chacune l’alourdissement de la peine privative de liberté de 3 mois, le prévenu ayant récidivé durant le délai d’épreuve de trois ans imparti le 25 juin 2018 et les multiples retraits du permis de conduire inscrits dans l’extrait du fichier SIAC n’ayant pas freiné le prévenu dans son obstination à violer les règles de la circulation routière. En conséquence, la peine privative de liberté d’ensemble doit être arrêtée à 30 mois (23 + 1 + 3 + 3). L’appel de Q.________ doit ainsi être partiellement admis dans cette mesure. Quant au choix du sursis partiel par les premiers juges, il est judicieux, compte tenu de l’absence de prise de conscience du prévenu et de l’effet de choc qu’exercera l’exécution de la moitié de la peine privative de liberté, portant sur 15 mois, et du fait que le prévenu a accepté les conclusions civiles des parties plaignan­tes en signant des reconnaissances de dette. La durée du délai d’épreuve assortissant le sursis partiel, fixée à 4 ans par les premiers juges, est adéquate et doit être confirmée. L’exécution de la moitié de la peine privative de liberté infligée, soit 15 mois, aura un effet suffisamment dissuasif pour assurer l’amendement du prévenu, de sorte qu’il se justifie de renoncer à la révocation du sursis accordé au prévenu le 25 juin 2018 par le Ministère public de l’arrondissement de La Côte. Le jugement entrepris doit être réformé sur ce point. Une peine pécuniaire doit également être infligée pour sanctionner la violation intentionnelle des règles de l’art de construire (cf. art. 229 al. 1 CP). Une peine pécuniaire de 60 jours-amende à 10 fr. le jour, entièrement complémentaire à celle prononcée le 25 juin 2018 par le Ministère public de l’arrondissement de La Côte, s’avère adéquate. Le jugement attaqué doit être réformé dans cette mesure. 5. 5.1 Invoquant une violation de l’art. 433 CPP, les parties plaignantes reprochent aux premiers juges d’avoir réduit l’indemnité requise de 31'589 fr. 50 pour leurs dépenses obligatoires occasionnées par la procédure et de ne pas avoir tenu compte des 77h51 facturées à 350 fr. correspondant à l’activité déployée par leur conseil. Elles soutiennent que la modération effectuée par les premiers juges est infondée, que les durées des opérations n’ont pas été comptées quelque peu large­ment, que six réquisitions de poursuites ont été déposées, que le temps consacré aux interventions de leur conseil n’est pas excessif et que la dernière opération figurant sur la liste des opérations relative à l’audience de jugement et aux opéra­tions ultérieures, largement sous-évaluée, aurait dû être comptabilisée à hauteur de 8 heures, et non de 48 minutes. 5.2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TF 6B_1286/2016 du 15 août 2017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 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5.3 Les parties plaignantes ont requis l’octroi d’un montant de 31'589 fr. 50, soit 77h51 au tarif horaire de 350 fr., avec intérêt à 5% l’an dès le 30 mars 2022. Le Tribunal criminel a considéré que le décompte produit à l’audience par Me Gilles-Antoine Hofstetter comportait des durées comptées trop largement pour certaines opérations, notamment pour les courriers rédigés et l’examen des lettres et documents reçus, y compris ceux concernant les recours propres du prévenu contre l’autorité, qui n’auraient nécessité qu’un examen cursif. Il a observé que les « revues du dossier » étaient trop nombreuses et longues, sans compter une réquisition de poursuite comptabilisée à hauteur de 4 heures, soit autant que pour la préparation de la plaidoirie et il a ainsi octroyé un total de 60 h au tarif horaire de 350 fr., soit 21'000 fr., plus 2'083 fr. 50 de débours et la TVA à 7,7 % sur le tout, par 1'777 fr. 50. Tout d’abord, au vu de la nature et de la complexité de la cause, il convient de rétribuer l’activité d’avocat breveté de Me Gilles-Antoine Hofstetter au tarif horaire de 300 fr., les spécificités de la présente cause – qui ressortait certes de la compétence d’un Tribunal criminel – ne justifiant pas d’aller au-delà de ce montant. En effet, d’une part, les conclusions civiles n’ont pas été contestées par le prévenu, ce dernier ayant signé des reconnaissances de dettes et, d’autre part, l’infraction finalement retenue n’était pas non plus contestée, étant précisé que tant les fait que les questions juridiques à trancher ne présentaient pas de difficultés particulières. Ensuite, à l’instar des premiers juges, la Cour de céans considère que le nombre d’heures alléguées est clairement excessif. Selon les parties plaignantes, la motivation des premiers juges ne permettrait pas de déterminer quelles opérations auraient été excessivement comptabilisées. Reste que la liste produite ne permettait pas de procéder différemment, dès lors que le conseil des parties plaignantes a compta­bilisé à maintes reprises un lot de plusieurs opérations pour un temps donné unique, de sorte qu’il était impossible de déterminer le temps exact consacré à chaque opération d’un lot. Cela étant, il y a un nombre excessif d’entretiens et de téléphones avec les clients et de trop fréquentes revues du dossier, temps estimés à respectivement 10,4 heures pour les entretiens et les téléphones avec les clients et à 6,4 heures pour les revues du dossier, sans prendre en compte le temps comptabi­lisé pour dites opérations lorsque celles-ci sont comprises dans un lot. De plus, le temps consacré aux opérations auprès de l’Office des poursuites, comptabilisé à hauteur de 4,4 heures, doit être réduit à une heure. Quant au temps consacré à des détermi­nations déposées auprès des autorités alors que celles-ci n’avaient pas été requises, soit 2,35 heures, il n’a pas à être indemnisé. Seules les opérations justifiées et nécessaires devant être indemni­sées, il convient en définitive de réduire des deux tiers, soit de 11,2 heures, le temps consacré aux entretiens et aux téléphones avec les clients et aux revues du dossier (10,4 + 6,4 = 16,8), de réduire de 3,4 heures le temps consacré aux opérations avec l’Office des poursuites, de ne pas tenir compte des 2,35 heures consacrées aux déterminations non requises déposées et d’ajouter 7,2 heures à la dernière opération de la liste pour atteindre les 8 heures alléguées. Tout bien considéré, on peut retenir une activité nécessaire d’avocat de 70 heures, ce qui correspond à une indemnité de 23'747 fr. 85, y compris 1'050 fr. de débours au taux de 5% et 1'697 fr. 85 pour la TVA. Mal fondés, les griefs invoqués par les parties plaignantes doivent être rejetés. Le montant ainsi obtenu étant inférieur à celui alloué aux parties plaignantes par les premiers juges et le prévenu n’ayant pas interjeté appel sur ce point, il convient de confirmer le montant de 24'861 fr., débours et TVA compris et sans intérêt, alloué par le Tribunal criminel. 6. En définitive, l’appel du Ministère public et celui de A.Y.________ et B.Y.________ doivent être rejetés, et l’appel de Q.________ doit être partiellement admis, le jugement entrepris devant être réformé dans le sens des considérants qui précèdent. Les conclusions des parties plaignantes, qui ont procédé avec l’assistance d’un défenseur de choix et qui ont conclu à l’octroi d’une indemnité pour les dépenses obligatoires occasionnées par la procédure d’appel, sont intégralement rejetées en appel, si bien qu’aucune indemnité au sens de l’art. 433 CPP ne doit leur être allouée pour la procédure d’appel. Le défenseur d’office de Q.________ a produit une liste d’opérations (P. 127) – dont il n’y a pas lieu de s’écarter si ce n’est pour tenir compte du temps effectif de l’audience d’appel et pour allouer des débours forfaitaires au taux de 2% – qui fait état 6,5 heures d’activité. Ainsi, une indemnité d’un montant total de 1'939 fr. 25, montant correspondant à 8,5 heures d’activité d’avocat breveté au tarif horaire de 180 fr., soit 1'530 fr., plus deux vacations à 120 fr., 30 fr. 60 de débours forfaitaires et 138 fr. 65 de TVA (art. 2 al. 1 let. a et 3bis al. 1 et al. 3 RAJ), doit être allouée à Me Robert Fox. Vu l’issue de la cause, les frais de la procédure d'appel, par 5'939 fr. 25, constitués en l’espèce de l’émolument du présent jugement, par 4'000 fr. (art. 21 al. 1 et 2 TFIP [Tarif des frais de procédure et indemnités en matière pénale du 28 septembre 2010 ; BLV 312.03.1]), et de l’indemnité allouée au défenseur d'office du prévenu (art. 422 al. 1 et 2 let. a CPP), par 1'939 fr. 25, seront mis à raison d’un quart, soit 1'484 fr. 80, à la charge de Q.________ qui succombe partiellement (art. 428 al. 1 CPP), le solde étant, en équité, laissé à la charge de l’Etat. Q.________ ne sera tenu de rembourser à l’Etat le quart du montant de l’indemnité en faveur de son défenseur d’office que lorsque sa situation financière le permettra (art. 135 al. 4 CPP).</w:t>
      </w:r>
    </w:p>
    <w:p>
      <w:r>
        <w:rPr>
          <w:b/>
        </w:rPr>
        <w:t>E. 8</w:t>
      </w:r>
    </w:p>
    <w:p>
      <w:r>
        <w:t>août 2019 consid. 5.1; 6B_143/2019 du 6 mars 2019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