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311 vom 9. Dezember 2021</w:t>
      </w:r>
    </w:p>
    <w:p>
      <w:r>
        <w:t>VD Tribunal cantonal, 2021-12-09, FR</w:t>
      </w:r>
    </w:p>
    <w:p>
      <w:r>
        <w:rPr>
          <w:b/>
        </w:rPr>
        <w:t xml:space="preserve">Quelle: </w:t>
      </w:r>
      <w:r>
        <w:t>https://mcp.opencaselaw.ch/entscheid/vd_findinfo_Jug___2022___311</w:t>
      </w:r>
    </w:p>
    <w:p>
      <w:r>
        <w:t>FR: VD_FINDINFO Jug / 2022 / 311 du 9 décembre 2021</w:t>
      </w:r>
    </w:p>
    <w:p>
      <w:r>
        <w:t>IT: VD_FINDINFO Jug / 2022 / 311 del 9 dicembre 2021</w:t>
      </w:r>
    </w:p>
    <w:p>
      <w:pPr>
        <w:pStyle w:val="Heading2"/>
      </w:pPr>
      <w:r>
        <w:t>Regeste</w:t>
      </w:r>
    </w:p>
    <w:p>
      <w:r>
        <w:t>PROTECTION DU CLIMAT, MANIFESTATION, ADMINISTRATION DES PREUVES, UNITÉ DE LA PROCÉDURE, LIBERTÉ D'EXPRESSION, LIBERTÉ DE RÉUNION, ENTRAVE AUX SERVICES D'INTÉRÊT GÉNÉRAL, ENTRAVE À LA CIRCULATION PUBLIQUE, AUTORISATION DE POLICE | 106 CP, 239 CP, 286 CP, 34 CP, 42 CP, 44 CP, 47 CP, 49 al. 1 CP, 50 CP, 26 al. 1 LCR, 49 al. 2 LCR, 90 al. 1 LCR, 25 LContr, 41 RGP</w:t>
      </w:r>
    </w:p>
    <w:p>
      <w:pPr>
        <w:pStyle w:val="Heading2"/>
      </w:pPr>
      <w:r>
        <w:t>Erwägungen</w:t>
      </w:r>
    </w:p>
    <w:p>
      <w:r>
        <w:rPr>
          <w:b/>
        </w:rPr>
        <w:t>E. 1</w:t>
      </w:r>
    </w:p>
    <w:p>
      <w:r>
        <w:t>Interjetés dans les formes et délais légaux (art. 399 CPP [Code de procédure pénale suisse du 5 octobre 2007 ; RS 312.0]), par des prévenus ayant qualité pour recourir (art. 382 al. 1 CPP) contre le jugement d’un tribunal de première instance ayant clos la procédure (art. 398 al. 1 CPP), les appels de K.________, de R.________ et de G.________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 titre préalable, les appelants requièrent la jonction de « l’ensemble des causes couvrants tous les manifestants poursuivis pour leur présence à leurs côtés, dans les faits qui leur sont reprochés, qui sont au stade de l’appel devant le Tribunal de céans ». Ils font valoir que la disjonction de ces causes remettrait notamment en cause l’indépendance et l’impartialité de la Cour de céans.</w:t>
      </w:r>
    </w:p>
    <w:p>
      <w:r>
        <w:rPr>
          <w:b/>
        </w:rPr>
        <w:t>E. 3.2</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Le Tribunal fédéral a relevé le caractère problématique, du point de vue du droit à un procès équitable garanti aux art. 29 al. 1 Cst. et 6 par. 1 CEDH (Convention de sauvegarde des droits de l’Homme et des libertés fondamentales du 4 novembre 1950 ; RS 0.101) , de la conduite de procédures séparées ou de la disjonction de causes en cas d’infractions commises par plusieurs auteurs ou participants, eu égard au risque de voir l’un des intéressés rejeter la faute sur les autres. Si des raisons objectives le justifient, le ministère public et les tribunaux peuvent ordonner la jonction ou la disjonction de procédures pénales (art. 30 CPP). La disjonction de procédures doit rester l’exception. Elle doit avant tout servir à garantir la rapidité de la procédure et à éviter un retard inutile.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 TF 6B_655/2022 du 31 août 2022 consid. 1.1 et les réf. citées ).</w:t>
      </w:r>
    </w:p>
    <w:p>
      <w:r>
        <w:rPr>
          <w:b/>
        </w:rPr>
        <w:t>E. 3.3</w:t>
      </w:r>
    </w:p>
    <w:p>
      <w:r>
        <w:t>En l’espèce, selon le rapport d’investigation (cf. supra let. C/2.4 et P. 4, p. 5), la manifestation du 20 septembre 2019 a impliqué l’interpellation et la dénonciation de cent quatre personnes. Compte tenu de ces circonstances, une jonction de l’ensemble de ces causes, à ce stade de la procédure, serait contraire au principe de célérité, dans la mesure où l’autorité d’appel devrait attendre le terme de toutes les instructions, puis procédures de première instance. Enfin, la disjonction n’est pas de nature à violer les art. 29 al. 1 Cst et 6 CEDH, dans la mesure où les différents prévenus ne s’accusent pas mutuellement, mais reconnaissent au contraire leur participation aux faits en question, ceux-ci n’étant pas litigieux dans le cas particulier.</w:t>
      </w:r>
    </w:p>
    <w:p>
      <w:r>
        <w:rPr>
          <w:b/>
        </w:rPr>
        <w:t>E. 4.1</w:t>
      </w:r>
    </w:p>
    <w:p>
      <w:r>
        <w:t>A titre de mesures d’instruction, les appelants requièrent l’audition de trois experts de l’Université de [...] et de la Conseil fédérale [...] dont les témoignages seraient à même de renseigner la Cour sur le réchauffement climatique, l’urgence à agir et l’inadéquation des mesures prises par les autorités. Ils demandent également la consultation de plusieurs sites internet dédiés au climat (cf. supra , let. B/a).</w:t>
      </w:r>
    </w:p>
    <w:p>
      <w:r>
        <w:rPr>
          <w:b/>
        </w:rPr>
        <w:t>E. 4.2</w:t>
      </w:r>
    </w:p>
    <w:p>
      <w:r>
        <w:t>La procédure se fonde sur les preuves administrées pendant la procédure préliminaire et la procédure de première instance (art. 389 al. 1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 F 6B_322/2021 du 2 mars 2022 consid. 2.1 ; TF 6B_732/2021 du 24 février 2022 consid. 1.1 ; TF 6B_1189/2021 du 16 février 2022 consid. 2.1 ).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 Ce refus d’instruire ne viole ainsi le droit d’être entendu des parties et l’art. 389 al. 3 CPP que si l’appréciation anticipée effectuée est entachée d’arbitraire (ATF 144 II 427 consid. 3.1.3 ; ATF 141 I 60 consid. 3.3 et les réf. citées, JdT 2015 I 115 p. 118 ; TF 6B_1331/2020 du 18 janvier 2021 consid. 1.1 ; TF 6B_818/2020 du 18 janvier 2021 consid. 2.1 ; TF 6B_197/2020 du 7 mai 2020 consid. 1.1 ).</w:t>
      </w:r>
    </w:p>
    <w:p>
      <w:r>
        <w:rPr>
          <w:b/>
        </w:rPr>
        <w:t>E. 4.3</w:t>
      </w:r>
    </w:p>
    <w:p>
      <w:r>
        <w:t>En l’espèce, comme le relève le jugement entrepris (cf. jugement, p. 19 in fine ), l’urgence climatique est un fait notoire, qui fait notamment l’objet de nombreux rapports scientifiques dont ceux du Groupe d’experts intergouvernemental sur l’évolution du climat (ci-après : GIEC). Cette urgence n’est ainsi pas mise en cause par la Cour, qui la tient pour acquise. Dans des causes récentes similaires, la Cour d’appel pénale a en effet déjà constaté que de nombreux rapports d’experts démontraient que les émissions de gaz à effet de serre provoquées par les activités humaines étaient à l’origine d’un réchauffement climatique mondial qui s’élevait actuellement à environ 1° C en moyenne par rapport à la période préindustrielle. Cette élévation de la température provoquait notamment une augmentation de l’intensité et de la fréquence de certains phénomènes climatiques et météorologiques extrêmes – tels que des vagues de chaleurs,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7 avril 2022/160 consid. 4 ; CAPE 31 janvier 2022/95 précité consid. 4 ; CAPE 28 septembre 2020/130 précité consid. 5.3). Dans ces circonstances, les auditions d’experts demandées par les appelants portant sur un fait notoire au sens de l’art. 139 al. 2 CPP, ne sont pas pertinentes et doivent dès lors être rejetées. Cela vaut également pour la requête des appelants tendant à la consultation de divers sites internet concernant le climat.</w:t>
      </w:r>
    </w:p>
    <w:p>
      <w:r>
        <w:rPr>
          <w:b/>
        </w:rPr>
        <w:t>E. 5.1</w:t>
      </w:r>
    </w:p>
    <w:p>
      <w:r>
        <w:t>Les appelants contestent leur condamnation pour entrave aux services d’intérêt général.</w:t>
      </w:r>
    </w:p>
    <w:p>
      <w:r>
        <w:rPr>
          <w:b/>
        </w:rPr>
        <w:t>E. 5.2</w:t>
      </w:r>
    </w:p>
    <w:p>
      <w:r>
        <w:t>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Cette disposition vise un comportement qui paralyse momentanément le service de transports, entrave sa marche normale ou crée une situation qui fait redouter une paralysie momentanée ou une entrave à la marche normale (Dupuis et al., Petit commentaire, Code pénal, 2 e éd., Bâle 2017, n. 11 ad art. 239 CP). Constitue une entreprise publique de transport, une entreprise qui est à la disposition de chacun pour le transport des personnes ou des choses (Corboz, Les infractions en droit suisse, Vol. II, 3 e éd., Berne 2010, n. 6 ad art. 239 CP ; Dupuis et al., op. cit. n. 5 ad art. 239 CP). La loi mentionne à titre d’exemple l’entreprise de chemin de fer, ainsi que celle des postes par le réseau de bus postaux. Il faut également ajouter les entreprises de transport par métro, par tram, par bus, par bateau, par avion, par téléphérique (ATF 85 IV 224 consid. III/2, JdT 1960 IV 51 ; Dupuis et al.,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 L’infraction peut être commise intentionnellement, le dol éventuel étant suffisant. Elle peut également être commise par négligence (Dupuis et al., op. cit. n. 17 ad art. 239 CP).</w:t>
      </w:r>
    </w:p>
    <w:p>
      <w:r>
        <w:rPr>
          <w:b/>
        </w:rPr>
        <w:t>E. 5.3</w:t>
      </w:r>
    </w:p>
    <w:p>
      <w:r>
        <w:t>En l’espèce, les appelants ont admis avoir participé à la manifestation non autorisée du 20 septembre 2019 au cours de laquelle le trafic [...] a été interrompu sur le Pont [...]. Les véhicules d’urgence (police, pompiers, ambulances) et les bus de la ligne n o 16 ont dû être déviés, dès 11 h 25 et ce, jusqu’à 19 h 55, sur d’autres artères attenantes (P. 4). Ainsi, la perturbation de la circulation des véhicules et des transports publics [...], qui s’est étendue sur plusieurs heures, a atteint la durée et l’intensité nécessaire pour réaliser les éléments constitutifs objectifs de l’art. 239 CP. Les appelants, conscients de cette situation, se sont par conséquents rendus coupables d’entrave aux services d’intérêt général au sens de l’art. 239 CP. Leur condamnation pour cette infraction doit donc être confirmée.</w:t>
      </w:r>
    </w:p>
    <w:p>
      <w:r>
        <w:rPr>
          <w:b/>
        </w:rPr>
        <w:t>E. 6.1</w:t>
      </w:r>
    </w:p>
    <w:p>
      <w:r>
        <w:t>Les appelants contestent leur condamnation pour empêchement d’accomplir un acte officiel.</w:t>
      </w:r>
    </w:p>
    <w:p>
      <w:r>
        <w:rPr>
          <w:b/>
        </w:rPr>
        <w:t>E. 6.2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 a et les références citées). Il n’est en revanche pas nécessaire que l’auteur parvienne à éviter effectivement l’accomplissement de l’acte officiel, il suffit qu’il le rende plus difficile, l’entrave ou le diffère (ATF 127 IV 115 précité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consid. 2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précité consid. 1.1.1). L’infraction de l’art. 286 CP requiert l’intention, mais le dol éventuel suffit (TF 6B_89/2019 précité consid. 1.5 ; TF 6B_783/2018 du 6 mars 2019 consid. 2.5.1).</w:t>
      </w:r>
    </w:p>
    <w:p>
      <w:r>
        <w:rPr>
          <w:b/>
        </w:rPr>
        <w:t>E. 6.3</w:t>
      </w:r>
    </w:p>
    <w:p>
      <w:r>
        <w:t>En l’espèce, les appelants ont admis avoir refusé de quitter spontanément les lieux, malgré les sommations des forces de l’ordre (cf. supra , let. C/2.4 et jugement, pp. 5, 7 et 8) . Au contraire, ils ont activement résisté à leur évacuation, en attendant volontairement d’être délogés du Pont [...] par la police. A cet égard, tous les appelants ont admis s’être enchevêtrés ou agrippés à d’autres manifestants et avoir dû être portés par des policiers (cf. supra , let. C/2.4 et jugement, pp. 5, 7 et 8). Ainsi, en ne respectant pas les sommations de la police, les appelants entendaient délibérément rendre plus difficile, entraver ou, à tout le moins, différer leur évacuation et leur identification par les forces de l’ordre. C’est donc à juste titre que le Tribunal de police a retenu que les éléments constitutifs de l’art. 286 CP étaient réalisés.</w:t>
      </w:r>
    </w:p>
    <w:p>
      <w:r>
        <w:rPr>
          <w:b/>
        </w:rPr>
        <w:t>E. 7.1</w:t>
      </w:r>
    </w:p>
    <w:p>
      <w:r>
        <w:t>Les appelants contestent leur condamnation pour violation simple des règles de la circulation routière.</w:t>
      </w:r>
    </w:p>
    <w:p>
      <w:r>
        <w:rPr>
          <w:b/>
        </w:rPr>
        <w:t>E. 7.2</w:t>
      </w:r>
    </w:p>
    <w:p>
      <w:r>
        <w:t>Les ordonnances pénales concernant les prévenus retiennent une violation simple des règles de la circulation (art. 90 al. 1 LCR), pour violation des art. 26 al. 1 LCR, 49 al. 2 LCR et 46 al. 2 OCR. Le premier juge a considéré que les art. 26 et 49 LCR ainsi que 46 OCR étaient des dispositions particulièrement générales et que l’art. 239 CP était une lex specialis qui absorbait les infractions à la LCR, de sorte qu’il n’y avait pas lieu de retenir un concours avec l’art. 239 CP. En revanche, il a retenu une violation de ces trois articles en lien avec le blocage des véhicules autres que ceux des transports publics. Cette appréciation ne prête pas le flanc à la critique, de sorte que la condamnation des appelants pour violation simple des règles de la circulation doit être confirmée.</w:t>
      </w:r>
    </w:p>
    <w:p>
      <w:r>
        <w:rPr>
          <w:b/>
        </w:rPr>
        <w:t>E. 8.1</w:t>
      </w:r>
    </w:p>
    <w:p>
      <w:r>
        <w:t>Les appelants contestent leur condamnation pour contravention à la loi sur les contraventions (LContr ; BLV 312.11) en relation avec l’art. 41 RGP.</w:t>
      </w:r>
    </w:p>
    <w:p>
      <w:r>
        <w:rPr>
          <w:b/>
        </w:rPr>
        <w:t>E. 8.2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w:t>
      </w:r>
    </w:p>
    <w:p>
      <w:r>
        <w:rPr>
          <w:b/>
        </w:rPr>
        <w:t>E. 8.3</w:t>
      </w:r>
    </w:p>
    <w:p>
      <w:r>
        <w:t>En l’occurrence, K.________ et R.________ ont admis avoir participé à la manifestation du 20 septembre 2019 en sachant que celle-ci n’était pas autorisée (cf. jugement, pp. 5 et 8). G.________ a quant à lui déclaré, « Honnêtement, je n’en avais pas le souvenir que cette manifestation n’était pas autorisée, mais cela ne m’aurait pas dérangé » (cf. jugement, p. 7). A l’instar du premier juge, il convient de retenir que les appelants ont à tout le moins accepté de participer à une manifestation illégale, faute d’autorisation. Partant, leur condamnation à une amende selon l’art. 25 al. 1 LContr en relation avec l’art. 41 RGP doit être confirmée.</w:t>
      </w:r>
    </w:p>
    <w:p>
      <w:r>
        <w:rPr>
          <w:b/>
        </w:rPr>
        <w:t>E. 9.1</w:t>
      </w:r>
    </w:p>
    <w:p>
      <w:r>
        <w:t>Les appelants considèrent que leur liberté de manifester aurait été violée par les autorités et, partant, qu’aucune infraction ne saurait leur être reprochée. Implicitement, ils font donc valoir l’application de l’art. 14 CP, en soutenant, en substance, que leurs actes se seraient inscrits dans une démarche de protestation politique fondée sur les libertés d’expression et de réunion.</w:t>
      </w:r>
    </w:p>
    <w:p>
      <w:r>
        <w:rPr>
          <w:b/>
        </w:rPr>
        <w:t>E. 9.2.1</w:t>
      </w:r>
    </w:p>
    <w:p>
      <w:r>
        <w:t>L’art. 14 CP dispose que quiconque agit comme la loi l’ordonne ou l’autorise se comporte de manière licite, même si l’acte est punissable en vertu du code pénal ou d’une autre loi.</w:t>
      </w:r>
    </w:p>
    <w:p>
      <w:r>
        <w:rPr>
          <w:b/>
        </w:rPr>
        <w:t>E. 9.2.2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précité consid. 4.2). L’art. 11 § 1 CEDH (en relation avec l’art. 10 CEDH), qui consacre notamment le droit de toute personne à la liberté de réunion et à la liberté d’association, offre des garanties comparables (ATF 132 I 256 précité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 ; TF 6B_655/2022 précité consid. 4.2). La liberté d’expression, comme les autres libertés fondamentales, n’a pas une valeur absolue. Une ingérence dans son exercice est conforme aux art.</w:t>
      </w:r>
    </w:p>
    <w:p>
      <w:r>
        <w:rPr>
          <w:b/>
        </w:rPr>
        <w:t>E. 9.2.3</w:t>
      </w:r>
    </w:p>
    <w:p>
      <w:r>
        <w:t>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 §§ 46-47).</w:t>
      </w:r>
    </w:p>
    <w:p>
      <w:r>
        <w:rPr>
          <w:b/>
        </w:rPr>
        <w:t>E. 9.3</w:t>
      </w:r>
    </w:p>
    <w:p>
      <w:r>
        <w:t>En l’espèce, il est établi que la manifestation du 20 septembre 2019 n’était pas autorisée et que les autorités municipales ne disposaient pas des renseignements nécessaires qui leur auraient permis de garantir son bon déroulement, respectivement d’assurer la sécurité de la circulation ainsi que la continuité de l’exploitation des transports publics et des véhicules ; en particulier, elles ne connaissaient ni la durée de la manifestation, ni le pont [...] ciblé par les participants ni la méthode qui serait utilisée pour bloquer la circulation (P. 4, p. 2). Par ailleurs, force est de constater que la police a fait preuve de tolérance et a respecté la liberté de réunion des manifestants, notamment en privilégiant la carte de l’apaisement, puisque malgré l’entrave majeure causée à la circulation publique, ceux-ci ont pu exprimer librement leurs revendications, à tout le moins durant le temps nécessaire à la mise en place du dispositif de maintien de l’ordre et jusqu’aux premières sommations. En outre, l’évacuation, qui s’est déroulée dans le calme, a duré un temps certain, ce qui était d’ailleurs l’un des objectifs poursuivis par les manifestants pour faire valoir leurs doléances le plus longtemps possible. Au demeurant, aucun des appelants n’affirme avoir été empêché d’exprimer son mécontentement. Cela étant, bien avant l’intervention de la police, on doit considérer que l’ampleur de la manifestation dépassait celle qu’impliquait l’exercice normal de la liberté de réunion à laquelle les manifestants pouvaient prétendre. Ainsi, compte tenu de l’importance des perturbations causées, les appelants, en refusant de se disperser, s’exposaient à des sanctions de nature pénale, auxquelles ils ont d’ailleurs été rendus attentifs (cf. supra , let. C/2.4). Partant, le moyen relatif à une violation de la liberté de manifester doit être rejeté.</w:t>
      </w:r>
    </w:p>
    <w:p>
      <w:r>
        <w:rPr>
          <w:b/>
        </w:rPr>
        <w:t>E. 10</w:t>
      </w:r>
    </w:p>
    <w:p>
      <w:r>
        <w:t>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 La CourEDH estime que la protection offerte par l’art. 11 CEDH ne dépend pas de savoir si le rassemblement s’est déroulé conformément à la procédure prévue par le droit interne. Dans son arrêt Bukta et autres c. Hongrie, la CourEDH a estimé que, dans des circonstances spéciales où il peut se justifier de réagir immédiatement, par exemple à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Ce principe ne peut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réglementations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 c. Russie du 15 novembre 2018, § 99 et 149 ss et références citées). Il existe, en principe, sur la base de la liberté d’opinion, d’information et de réunion, un droit conditionnel à l’usage accru du domaine public pour des manifestations avec appel au public (ATF 144 I 50 consid. 6.3 ; ATF 138 I 274 consid. 2.2.2 ; ATF 132 I 256 précité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précité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consid. 3).</w:t>
      </w:r>
    </w:p>
    <w:p>
      <w:r>
        <w:rPr>
          <w:b/>
        </w:rPr>
        <w:t>E. 10.1</w:t>
      </w:r>
    </w:p>
    <w:p>
      <w:r>
        <w:t>Les appelants plaident le fait justificatif de l’état de nécessité licite (art. 17 CP). Le premier juge, se référant à la jurisprudence du Tribunal fédéral relative à l’application de l’art. 17 CP aux manifestations pour le climat et selon laquelle la notion de danger imminent évoquée par l’art. 17 CP serait un péril qui devrait se concrétiser à brève échéance, soit à tout le moins dans les heures qui suivent l’acte punissable (ATF 147 IV 297), n’a pas retenu l’application de l’art. 17 CP au cas d’espèce.</w:t>
      </w:r>
    </w:p>
    <w:p>
      <w:r>
        <w:rPr>
          <w:b/>
        </w:rPr>
        <w:t>E. 10.2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Le danger se définit comme une situation comportant, selon le cours ordinaire des choses, une certaine probabilité de voir un bien juridique lésé (Dupuis et al., op.cit., n. 6 ad art. 17 CP et l’auteur cité). Il peut provenir d’un phénomène naturel ou d’un comportement humain (ATF 106 IV 1, JdT 1980 I 452 ; Monnier, in : Commentaire romand, op. cit., n. 6 ad art. 17 CP). Ce danger doit être imminent, c’est-à-dire ni passé ni futur, mais actuel et concret (ATF 147 IV 297 précité consid. 2.1 ; ATF 129 IV 6 précité consid. 3.2 ; ATF 122 IV 1 consid. 3a ; TF 6B_145/2022 du 3 janvier 2022 consid. 4.2). Il s’agit d’un péril devant se concrétiser à brève échéance, soit à tout le moins dans les heures suivant l’acte punissable commis par l’auteur (ATF 147 IV 297 précité consid. 2.3.3). Selon le Tribunal fédéral, le danger doit menacer concrètement et de manière pressante le bien juridique concerné, et non seulement peser sur des biens indéfinis dans un horizon temporel incertain (ATF 147 IV 297 précité consid. 2.3.4). En revanche, toujours selon la Haute Cour, les phénomènes naturels susceptibles de se produire en raison du réchauffement climatique ne sauraient être assimilés à un danger durable et imminent car, de tels périls peuvent frapper indistinctement chacun, en tout lieu et en tout temps, sans qu’il soit possible d’identifier un bien juridique spécifiquement menacé (ATF 147 IV 297 précité consid. 2.5 ; TF 6B_145/2022 précité consid. 4.2 ; TF 6B_1298/2020 du 28 septembre 2021 consid. 3.2). Le danger doit également être impossible à détourner autrement. En d’autres termes, l’exécution de l’acte préjudiciable doit constituer le moyen unique et adéquat pour préserver le bien en danger (Pozo/Godel, Droit pénal général, 3 e éd., Zurich 2019, n. 712, p. 280). L’impossibilité que le danger puisse être détourné autrement implique une subsidiarité absolue (ATF 146 IV 297 consid. 2.1 ; TF 6B_145/2021 précité consid. 4.3 ; TF 6B_1298/2020 précité consid. 3.3 ; TF 6B_1379/2019 du 13 août 2020 consid. 7.2). En particulier, celui qui dispose de moyens licites pour préserver le bien juridique menacé ne peut pas se prévaloir de l’état de nécessité (TF 6B_145/2021 précité consid. 4.3 ; TF 6B_1298/2020 précité consid. 3.3). La subsidiarité absolue constitue une condition à laquelle aucune exception ne peut être faite (TF 6B_713/2018 du 21 novembre 2018 consid. 4.1 ; TF 6B_825/2016 du 6 juillet 2017 consid. 3.1 et les références citées). Le Tribunal fédéral a ainsi considéré que la perturbation temporaire de transports de déchets nucléaires n’était pas propre à protéger concrètement l’environnement dans la mesure où il s’agissait d’une action avant tout dénonciatrice et symbolique. Dans ce cas de figure, les manifestants disposaient par ailleurs de moyens légaux pour attirer l’attention des médias, exprimer leurs convictions et promouvoir notamment la sortie du nucléaire (ATF 129 IV 6 précité consid. 3.5 et 3.6). Le principe de la proportionnalité – ainsi que le texte même de l’art. 17 CP – exige par ailleurs que l’auteur défende des intérêts prépondérants (Dupuis et al., op. cit., n. 16 ad art. 17 CP). Afin de déterminer l’existence d’un intérêt prépondérant, la doctrine estime qu’il convient de faire une pesée des intérêts en prenant en considération non seulement le rang des biens juridiques en conflit, mais aussi la gravité de l’atteinte, l’importance du danger, ainsi que toutes les circonstances du cas concret (Dupuis et al., op. cit., n. 16 ad art. 17 CP et les auteurs cités). Un acte nécessaire n’est licite qu’à la condition que le bien protégé soit plus précieux que le bien lésé ; si les deux biens en conflit ont une valeur équivalente, il s’agit d’un état de nécessité illicite mais excusable, qui tombe sous le coup de l’art. 18 CP (ATF 122 IV 1 précité consid. 2b ; Monnier, op. cit., n. 14 ad art. 17 CP). L’art. 17 CP ne vise que la protection des biens juridiques individuels. Celle des intérêts collectifs, respectivement des intérêts de l’Etat, relève de l’art. 14 CP (ATF 147 IV 297 précité consid. 2.1 et les réf. citées). Sur le plan subjectif, il faut que l’auteur ait effectivement eu la volonté d’agir conformément au droit. S’agissant plus particulièrement de la conscience d’agir de façon justifiée, il suffit que l’auteur considère comme probable l’existence d’un fait justificatif (Monnier, op. cit., n. 10 ad Intro aux art. 14 à 18 CP).</w:t>
      </w:r>
    </w:p>
    <w:p>
      <w:r>
        <w:rPr>
          <w:b/>
        </w:rPr>
        <w:t>E. 10.3</w:t>
      </w:r>
    </w:p>
    <w:p>
      <w:r>
        <w:t>En l’occurrence, force est de constater que le caractère imminent du danger lié au réchauffement climatique et ses conséquences pour l’Humanité a été nié par le Tribunal fédéral. La Cour d’appel pénale a parfois été moins affirmative. En effet, dans sa jurisprudence (cf. supra consid. 4.3) , la Cour de céans a eu l’occasion de rappeler que le réchauffement climatique, soit l’augmentation de la température planétaire, était attestée par de nombreux rapports scientifiques qui l’imputaient directement aux émissions de gaz à effet de serre produites par les êtres humains. Plus récemment, dans le rapport du GIEC du mois de février 2022, la communauté scientifique arrive à la conclusion que le réchauffement climatique représente une menace pour le bien-être de l’Humanité et a fortiori pour celui de la planète. Elle précise que tout nouveau retard dans la mise en place d’une action mondiale commune, qui viserait tant à s’adapter à ce réchauffement qu’à l’atténuer, manquerait une brève opportunité, qui se referme rapidement, de garantir un avenir vivable et durable pour toutes et tous (Rapport GIEC, p. 33). Dans sa jurisprudence, la Cour de céans a en outre constaté que les conséquences de ce réchauffement s’observaient par de multiples phénomènes climatiques et météorologiques extrêmes – tels que la fonte des glaces, les inondations, les vagues de chaleur, pour ne citer que ces exemples – et que ces phénomènes n’allaient de cesse de s’aggraver si le réchauffement de la terre se poursuivait selon sa trajectoire actuelle. Il allait par ailleurs de soi que de tels phénomènes représentaient un danger pour les biens et l’intégrité, notamment physique, des individus qui y étaient exposés (CAPE 7 avril 2022/160 précité consid. 4 ; CAPE 31 janvier 2022/95 consid. 4 ; CAPE 28 septembre 2020/130 consid. 5.3). Cela étant, la question de l’imminence n’est en l’espèce pas pertinente puisque le danger doit en outre avoir été impossible à détourner autrement. Or, le comportement adopté par les appelants, soit le fait d’avoir participé à une manifestation non autorisée ayant consisté à bloquer l’accès d’un pont [...] durant plusieurs heures à toute circulation du trafic, notamment celui des véhicules d’urgence (police, pompiers, ambulances) et des bus de la ligne n o 16, n’était pas propre à écarter les dangers liés au réchauffement climatique. On ne voit en effet pas en quoi les infractions commises, soit le fait de participer à une manifestation non autorisée, d’entraver les services d’intérêt général, de violer les règles de la circulation routière et d’empêcher les autorités d’accomplir un acte officiel, aient pu avoir une quelconque incidence directe sur le réchauffement climatique. En d’autres termes, le moyen utilisé par les prévenus n’était absolument pas propre à écarter les dangers liés à l’augmentation de la température constatée sur la planète. En outre, les appelants ne sauraient être suivis lorsqu’ils affirment que leur action était nécessaire afin de sensibiliser l’opinion publique à la question du réchauffement climatique et de provoquer des changements politiques drastiques. Certes, la Cour ne saurait nier que des changements sociétaux sans précédent sont nécessaires, en revanche, elle ne voit pas ce qui empêchait les prévenus d’atteindre leurs objectifs en recourant à des moyens licites. A cet égard, la Cour a également eu l’occasion de rappeler que, contrairement à d’autres pays, la Suisse, avec ses instruments démocratiques, offre de vastes possibilités de participation politique. Garantis par les art. 34 et 136 Cst., les droits politiques comprennent notamment le droit d’initiative populaire pour une révision totale ou partielle de la Constitution fédérale (art. 138 ss Cst). L’art. 33 Cst. permet en outre d’adresser des pétitions aux autorités. Il convient également de mentionner le droit d’initiative et le droit de présenter des motions des membres de l’Assemblée fédérale, des groupes parlementaires, des commissions parlementaires et des cantons prévus à l’art. 160 al. 1 Cst. Enfin, afin de faire valoir leur point de vue, les citoyens suisses peuvent également invoquer des droits fondamentaux, à savoir la liberté d’expression et d’information (art. 16 Cst.), la liberté des médias (art. 17 Cst.) et la liberté de réunion et d’association (art. 22 et 23 Cst.). Il s’ensuit que les prévenus auraient pu atteindre leur but en intervenant plus massivement dans les médias, dans des débats publics ou sur la scène politique. Les prévenus font valoir que leur action était nécessaire pour attirer l’attention du public sur la problématique du réchauffement climatique. Si on peut parfaitement admettre qu’un tel objectif était utile à la cause du réchauffement climatique, dès lors que des changements sociétaux sans précédent sont nécessaires, on ne voit en revanche pas ce qui empêchait les prévenus de l’atteindre en recourant à des moyens licites. Au vu de ce qui précède, il apparaît que les conditions d’application de l’art. 17 CP ne sont en l’espèce pas réalisées. Partant, ce moyen doit être rejeté.</w:t>
      </w:r>
    </w:p>
    <w:p>
      <w:r>
        <w:rPr>
          <w:b/>
        </w:rPr>
        <w:t>E. 11.1</w:t>
      </w:r>
    </w:p>
    <w:p>
      <w:r>
        <w:t>Les appelants plaident l’exemption de peine, invoquant l’application de l’art. 52 CP.</w:t>
      </w:r>
    </w:p>
    <w:p>
      <w:r>
        <w:rPr>
          <w:b/>
        </w:rPr>
        <w:t>E. 11.2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précité consid. 5.2.1), mais aussi selon d’autres critères, comme le principe de célérité ou d’autres motifs d’atténuation de la peine indépendants de la faute (tels que l’écoulement du temps depuis la commission de l’infraction ; ATF 135 IV 130 précité consid. 5.4).</w:t>
      </w:r>
    </w:p>
    <w:p>
      <w:r>
        <w:rPr>
          <w:b/>
        </w:rPr>
        <w:t>E. 11.3</w:t>
      </w:r>
    </w:p>
    <w:p>
      <w:r>
        <w:t>En l’espèce, force est de constater que les conditions d’application de l’art. 52 CP ne sont pas réunies. Certes, les appelants ont agi pour défendre une cause idéale qu’est la lutte contre le dérèglement climatique. A l’instar du premier juge, il convient de retenir que, par leurs comportements, les appelants ont commis des actes illicites qui ne sauraient être justifiés par la cause qu’ils portent. A ce titre, la Cour de céans a rappelé que cette cause pouvait parfaitement être défendue légalement, comme de nombreux et honorables militants s’y emploient (CAPE 17 juin 2021/185 consid. 6.1.3.1 ). Dans le cas précis, les comportements des appelants n’ont pas été sans conséquences pour les services d’utilité publique de la ville de [...] et pour les nombreuses personnes gênées par le blocage du Pont en question. En effet, le trafic a été entravé de 11 h 25 à 19 h 55, soit de nombreuses heures, entrainant le blocage des axes essentiels à la circulation [...] et forçant les autorités à organiser des déviations. On ne saurait dès lors considérer qu’il s’agit d’une affaire d’une importance négligeable au sens de l’art. 52 CP (cf. par exemple CAPE 24 janvier 2022/48 consid. 5.2, concernant des faits analogues). Mal fondé, le moyen doit donc être rejeté.</w:t>
      </w:r>
    </w:p>
    <w:p>
      <w:r>
        <w:rPr>
          <w:b/>
        </w:rPr>
        <w:t>E. 12</w:t>
      </w:r>
    </w:p>
    <w:p>
      <w:r>
        <w:t>Les appelants, qui concluent à leur acquittement, ne contestent pas la quotité des peines pécuniaires infligées ni le montant des jours-amendes retenus.</w:t>
      </w:r>
    </w:p>
    <w:p>
      <w:r>
        <w:rPr>
          <w:b/>
        </w:rPr>
        <w:t>E. 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12.3</w:t>
      </w:r>
    </w:p>
    <w:p>
      <w:r>
        <w:t>En l’espèce, la culpabilité des appelants n’est pas négligeable. Ces derniers ont participé à une manifestation non autorisée, qui a conduit au blocage d’un axe principal de la ville de [...] et ce, durant plusieurs heures. En outre, ils n’ont pas obtempéré aux injonctions des forces de l’ordre qui les enjoignaient de quitter les lieux. Au contraire, ils s’y sont opposés en attendant que la police les déloge de force. Le concours d’infractions doit être retenu à charge pour tous les appelants. A décharge, on retiendra, à l’instar du tribunal de première instance, que les motivations sincères des prévenus et la cause idéale qu’ils portent doivent être prises en considération. Au vu de ces éléments, les comportements des appelants doivent être sanctionnés par une peine pécuniaire de 20 jours-amende et, au vu de leur situation financière, le montant du jour amende, fixé à 30 fr., ne prête pas le flanc à la critique. L’octroi du sursis avec un délai d’épreuve de deux ans doit être confirmé. Il en va également ainsi de l’amende d’un montant de 200 fr., convertible en peine privative de liberté de deux jours en cas de non-paiement fautif, retenue.</w:t>
      </w:r>
    </w:p>
    <w:p>
      <w:r>
        <w:rPr>
          <w:b/>
        </w:rPr>
        <w:t>E. 13</w:t>
      </w:r>
    </w:p>
    <w:p>
      <w:r>
        <w:t>En définitive, les appels formés par K.________, R.________ et G.________ doivent être rejetés et le jugement entrepris confirmé.</w:t>
      </w:r>
    </w:p>
    <w:p>
      <w:r>
        <w:rPr>
          <w:b/>
        </w:rPr>
        <w:t>E. 14</w:t>
      </w:r>
    </w:p>
    <w:p>
      <w:r>
        <w:t>Vu l’issue des appels, les frais de la procédure d’appel, composés de l’émolument de jugement et d’audience (art. 21 al. 1 TFIP [Tarif des frais de procédure et indemnités en matière pénale du 28 septembre 2010 ; BLV 312.03.1), par 3’370 fr., seront mis à la charge des appelants, qui succombent entièrement (art. 428 al. 1, 1 re phrase, CPP), à parts égales entre eux (art. 418 al. 1 CPP), soit 1’123 fr. 35 (1/3 de 3’370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