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299 vom 30. März 2022</w:t>
      </w:r>
    </w:p>
    <w:p>
      <w:r>
        <w:t>VD Tribunal cantonal, 2022-03-30, FR</w:t>
      </w:r>
    </w:p>
    <w:p>
      <w:r>
        <w:rPr>
          <w:b/>
        </w:rPr>
        <w:t xml:space="preserve">Quelle: </w:t>
      </w:r>
      <w:r>
        <w:t>https://mcp.opencaselaw.ch/entscheid/vd_findinfo_Jug___2022___299</w:t>
      </w:r>
    </w:p>
    <w:p>
      <w:r>
        <w:t>FR: VD_FINDINFO Jug / 2022 / 299 du 30 mars 2022</w:t>
      </w:r>
    </w:p>
    <w:p>
      <w:r>
        <w:t>IT: VD_FINDINFO Jug / 2022 / 299 del 30 marzo 2022</w:t>
      </w:r>
    </w:p>
    <w:p>
      <w:pPr>
        <w:pStyle w:val="Heading2"/>
      </w:pPr>
      <w:r>
        <w:t>Regeste</w:t>
      </w:r>
    </w:p>
    <w:p>
      <w:r>
        <w:t>DEMANDE ADRESSÉE À L'AUTORITÉ, RÉVISION{DÉCISION}, DÉCISION D'IRRECEVABILITÉ | 410 al. 1 let. a CPP (CH), 412 al. 2 CPP (CH), 428 al. 1 CPP (CH)</w:t>
      </w:r>
    </w:p>
    <w:p>
      <w:pPr>
        <w:pStyle w:val="Heading2"/>
      </w:pPr>
      <w:r>
        <w:t>Erwägungen</w:t>
      </w:r>
    </w:p>
    <w:p>
      <w:r>
        <w:rPr>
          <w:b/>
        </w:rPr>
        <w:t>E. 1.1</w:t>
      </w:r>
    </w:p>
    <w:p>
      <w:r>
        <w:t>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précité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 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les références citées). Le motif de révision d’emblée non vraisemblable se conçoit en lien avec l’examen des faits et des moyens de preuves invoqués à l’appui de la demande de révision.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w:t>
      </w:r>
    </w:p>
    <w:p>
      <w:r>
        <w:rPr>
          <w:b/>
        </w:rPr>
        <w:t>E. 2</w:t>
      </w:r>
    </w:p>
    <w:p>
      <w:r>
        <w:t>En l’espèce, par sa requête de production, de la part de l’OFJ, d’un document relatif à « ses informations migratoires », le requérant prétend pouvoir établir « des preuves indéniables sur sa localisation », soit sur le fait qu’il se trouvait en [...] de juin à novembre 2019 et, ainsi, tenter d’exclure toute implication de sa part dans les actes d’utilisation frauduleuse d’un ordinateur par métier retenus à son encontre. Ce faisant, le requérant se borne à réitérer des réquisitions de preuves censées attester de sa présence en [...], au moment des faits contestés. Or, dans son jugement du 17 mars 2021, la Cour d’appel pénale a rejeté les réquisitions de preuves du requérant allant dans ce sens, au motif que « le dossier contenait suffisamment d’indications sur son lieu de séjour en 2019 » (cf. jugement du 17 mars 2021 consid. 3.3.2). En outre, elle a également retenu qu’il était possible que certaines commandes litigieuses aient pu être passées depuis [...] et que le requérant avait par ailleurs admis avoir effectué beaucoup d’allers-retours entre ces deux pays, entre 2013 et 2019 (cf. jugement du 17 mars 2021 consid. 3.3.2 et, jugement du 19 octobre 2020, p. 9). Ainsi, force est de constater que la Cour avait déjà pris en considération ce fait, pour fonder sa conviction. Le requérant ne fait donc valoir aucun fait ou moyen de preuves nouveau et sérieux au sens de l’art. 410 al. 1 let. a CPP. En outre, il demande le réexamen de la quotité de la peine qui lui a été infligée, celui-ci n’est toutefois pas l’objet d’une procédure de révision. Les motifs de révision invoqués sont dès lors d’emblée manifestement mal fondés.</w:t>
      </w:r>
    </w:p>
    <w:p>
      <w:r>
        <w:rPr>
          <w:b/>
        </w:rPr>
        <w:t>E. 3</w:t>
      </w:r>
    </w:p>
    <w:p>
      <w:r>
        <w:t>Au vu de ce qui précède, la demande de révision présentée par C.________ doit être déclarée irrecevable, sans échange d’écritures (art. 412 al. 2 CPP). Les frais de la procédure de révision, constitués du seul émolument d’arrêt, par 770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