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261 vom 15. Dezember 2021</w:t>
      </w:r>
    </w:p>
    <w:p>
      <w:r>
        <w:t>VD Tribunal cantonal, 2021-12-15, FR</w:t>
      </w:r>
    </w:p>
    <w:p>
      <w:r>
        <w:rPr>
          <w:b/>
        </w:rPr>
        <w:t xml:space="preserve">Quelle: </w:t>
      </w:r>
      <w:r>
        <w:t>https://mcp.opencaselaw.ch/entscheid/vd_findinfo_Jug___2022___261</w:t>
      </w:r>
    </w:p>
    <w:p>
      <w:r>
        <w:t>FR: VD_FINDINFO Jug / 2022 / 261 du 15 décembre 2021</w:t>
      </w:r>
    </w:p>
    <w:p>
      <w:r>
        <w:t>IT: VD_FINDINFO Jug / 2022 / 261 del 15 dicembre 2021</w:t>
      </w:r>
    </w:p>
    <w:p>
      <w:pPr>
        <w:pStyle w:val="Heading2"/>
      </w:pPr>
      <w:r>
        <w:t>Regeste</w:t>
      </w:r>
    </w:p>
    <w:p>
      <w:r>
        <w:t>MANIFESTATION, ADMINISTRATION DES PREUVES, UNITÉ DE LA PROCÉDURE, PRÉSOMPTION D'INNOCENCE, EXCUSABILITÉ, ILLICÉITÉ, LIBERTÉ D'EXPRESSION, LIBERTÉ DE RÉUNION, ENTRAVE AUX SERVICES D'INTÉRÊT GÉNÉRAL, AUTORISATION DE POLICE | 14 CP, 239 CP, 286 CP, 16 Cst., 22 Cst., 25 LContr, 10 al. 1 CPP (CH), 29 al. 1 CPP (CH), 389 CPP (CH), 41 RGP</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X1.________ et de X2.________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A titre de mesures d’instruction, les appelants ont réitéré la production du dossier complet en mains de la Municipalité de [...] en lien avec les manifestations du [...] et de la rue [...], ainsi que la production de tous les jugements rendus à l’encontre des manifestants des 20 septembre et 14 décembre 2019 et des échanges intervenus entre les présidents du Tribunal de l’arrondissement de Lausanne au sujet de l’organisation des audiences de jugement.</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w:t>
      </w:r>
    </w:p>
    <w:p>
      <w:r>
        <w:rPr>
          <w:b/>
        </w:rPr>
        <w:t>E. 3.3</w:t>
      </w:r>
    </w:p>
    <w:p>
      <w:r>
        <w:t>Les appelants n'expliquent pas pour quels motifs la Cour de céans devrait procéder aux mesures d'instruction requises ni de quelle manière l’appréciation du premier juge sur les preuves administrées pendant la procédure serait erronée ou incomplète. Cela dit, on ne voit pas en quoi la production des dossiers des manifestations de la Municipalité de [...] et de la police pourrait être utile et serait de nature à modifier l'appréciation des preuves, d’autant qu’il ressort de ces deux rapports que si la tenue des manifestations des 20 septembre 2019 et 14 décembre 2019 était connue des autorités, celles-ci n’avaient pas été autorisées. Les rapports d’investigation établis par la police et figurant au dossier (P. 4 et P. 6) sont suffisamment complets pour permettre à la Cour de céans de statuer sur les questions litigieuses. On ne discerne pas non plus ce que les autres mesures d’instruction sollicitées pourraient apporter, ni que celles-ci seraient de nature à remettre en cause l’appréciation qui va suivre. Les réquisitions de preuves sollicitées par les deux appelants doivent par conséquent être rejetées.</w:t>
      </w:r>
    </w:p>
    <w:p>
      <w:r>
        <w:rPr>
          <w:b/>
        </w:rPr>
        <w:t>E. 4.1</w:t>
      </w:r>
    </w:p>
    <w:p>
      <w:r>
        <w:t>Invoquant une violation de la présomption d'innocence et du principe de l'unité de procédure, les appelants reprochent au Tribunal de police de ne pas avoir joint les procédures de tous les participants aux manifestations des 20 septembre 2019 et 14 décembre 2019, et d'avoir rendu des jugements en tous points identiques sans tenir compte des circonstances de chaque cas particulier.</w:t>
      </w:r>
    </w:p>
    <w:p>
      <w:r>
        <w:rPr>
          <w:b/>
        </w:rPr>
        <w:t>E. 4.2.1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 risque de voir l’un des intéressés rejeter la faute sur les autres (ATF 134 IV 328 consid. 3 ; TF 6B_655/2022 du 31 août 2022 consid. 1.1). La disjonction de procédures doit rester l’exception (ATF 144 IV 97 consid. 3.3). Elle doit avant tout servir à garantir la rapidité de la procédure et à éviter un retard inutile (ATF 138 IV 214 consid. 3.2). Constituent des motifs objectifs justifiant la disjonction des causes un nombre élevé de coprévenus rendant la conduite d’une procédure unique trop difficile, une incapacité de comparaître de longue durée d’un des coprévenus – en fuite ou en raison d’une maladie – ou l’imminence de la prescription (ATF 138 IV 214 consid. 3.2 ; Bouverat, Commentaire romand, Code de procédure pénale suisse, 2 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pas en soi des motifs de disjonction (ATF 138 IV 214 consid. 3.2 ; TF 6B_655/2022 précité).</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4.3</w:t>
      </w:r>
    </w:p>
    <w:p>
      <w:r>
        <w:t>En l’espèce, il ressort des rapports de police au dossier (P. 4 et P. 6) que la manifestation du 20 septembre 2019 et celle du 14 décembre 2019 ont donné lieu à l’interpellation et à la dénonciation au Ministère public de respectivement cent quatre personnes et nonante personnes. Certains prévenus ont participé à d'autres manifestations, de sorte qu'une éventuelle identité des cau­ses fait défaut. De plus, les causes de certains prévenus étant encore en cours d'instruction devant le Ministère public, on ne saurait attendre la clôture de l’instruc­tion les concernant en raison des délais de prescription des infractions de droit cantonal et réunir les causes d’une centaine de manifestants en une procédure judiciaire unique serait incompatible avec le principe de célérité consacré à l’art. 5 al. 1 CPP et contraire au principe d’économie de procédure. Par ailleurs, le regroupe­ment d'un si grand nombre de dossiers, soit plus d’une centaine, rend impossible une procédure unique pour des raisons évidentes d’organisation. En effet, mettre en place une audience avec autant de parties serait irréalisable au regard notamment des éventuelles disponibilités des différents intervenants, de la taille de la salle d'audience et de la durée de cette dernière. Pour le reste, contrairement aux allégations des appelants, le premier juge a examiné le comportement de chacun des prévenus distinctement et non pas sous un seul considérant. On ne discerne quoi qu’il en soit pas en quoi les appelants seraient susceptibles de rejeter la faute sur les autres manifestants ni qu’il existe un risque d’aboutir à des jugements contradictoires. En effet, les deux appelants ont chacun été condamnés pour leur propre comportement illicite, soit en bref pour avoir bloqué la circulation aux services d’intérêt général (art. 239 CP [Code pénal suisse du 21 décembre 1937 ; RS 311.0]) et pour avoir opposé une résistance physique aux agents de police lors de leur évacuation (art. 286 CP). Tout en reconnaissant leur participation aux deux manifestations litigieuses, les appelants ne s’accusent pas mutuellement. Il convient ainsi de déterminer pour chaque manifestant, en l’occur­rence pour chacun des appelants pris individuellement, s’il réalise les éléments constitutifs des infractions reprochées (cf. TF 6B_655/2022 du 31 août 2022 consid. 1.1). Enfin, on peut tout de même relever la contradiction des intéressés à solliciter simultanément la jonction de toutes les causes et l’examen séparé et circonstancié de chaque cause. Mal fondés, les griefs des appelants doivent être rejetés.</w:t>
      </w:r>
    </w:p>
    <w:p>
      <w:r>
        <w:rPr>
          <w:b/>
        </w:rPr>
        <w:t>E. 5.1</w:t>
      </w:r>
    </w:p>
    <w:p>
      <w:r>
        <w:t>Invoquant une violation des art. 10, 11 CEDH, 14 CP et 190 Cst., les appelants, dont les moyens de défense sont identiques, font valoir qu’aucune infraction ne saurait leur être reprochée, leur comportement résultant de l'exercice de leurs libertés fondamentales telles que la liberté d'expression, de réunion et d'association. Ils relèvent que les manifestations des 20 septembre 2019 et 14 décembre 2019 étaient pacifiques et que leurs comportements étaient protégés par les art. 10 et 11 CEDH, et partant autorisés.</w:t>
      </w:r>
    </w:p>
    <w:p>
      <w:r>
        <w:rPr>
          <w:b/>
        </w:rPr>
        <w:t>E. 5.2.1</w:t>
      </w:r>
    </w:p>
    <w:p>
      <w:r>
        <w:t>L'art. 14 CP dispose que celui qui agit comme la loi l'ordonne ou l'autorise se comporte de manière licite, même si l'acte est punissable en vertu du code pénal ou d'une autre loi.</w:t>
      </w:r>
    </w:p>
    <w:p>
      <w:r>
        <w:rPr>
          <w:b/>
        </w:rPr>
        <w:t>E. 5.2.2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w:t>
      </w:r>
    </w:p>
    <w:p>
      <w:r>
        <w:rPr>
          <w:b/>
        </w:rPr>
        <w:t>E. 5.2.3</w:t>
      </w:r>
    </w:p>
    <w:p>
      <w:r>
        <w:t>Selon la jurisprudence, il existe en principe, sur la base de la liberté d’opinion, d’information et de réunion, un droit conditionnel à l’usage accru du domaine public pour des manifestations avec appel au public (ATF 144 I 50 consid. 6.3).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non-manifestants (ATF 143 I 147 consid. 3.2 ; TF 6B_655/2022 précité consid. 4.3).</w:t>
      </w:r>
    </w:p>
    <w:p>
      <w:r>
        <w:rPr>
          <w:b/>
        </w:rPr>
        <w:t>E. 5.2.4</w:t>
      </w:r>
    </w:p>
    <w:p>
      <w:r>
        <w:t>La Haute Cour a confirmé que les autorités doivent pouvoir sanctionner ceux qui participent à une manifestation non autorisée, sans quoi une procédure d’autorisation serait illusoire (arrêt de la CourEDH Zilibergerg c. Moldova , du 1 er février 2005, n o 61821/00). Elle a rappelé que si les conditions prévues dans l’autorisation de manifester ne sont pas respectées, les organisateurs et les manifestants pourront, le cas échéant, être punis par une amende, en application de l’art. 292 CP ou d’une norme cantonale, pour autant qu’il n’y ait pas de disproportion entre le non-respect des conditions et la sanction (ATF 105 Ia 15,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notamment de la durée et de l’ampleur du trouble à l’ordre public causé par le rassemblement ainsi que de la question de savoir si ses participants se sont vus offrir une possibilité suffisante d’exprimer leurs opinions et de quitter les lieux une fois que l’ordre leur en a été donné (arrêt de la CourEDH Frumkin c. Russie du 5 janvier 2016, § 97).</w:t>
      </w:r>
    </w:p>
    <w:p>
      <w:r>
        <w:rPr>
          <w:b/>
        </w:rPr>
        <w:t>E. 5.2.5</w:t>
      </w:r>
    </w:p>
    <w:p>
      <w:r>
        <w:t>Les actions de blocage peuvent donner lieu à des condamnations pénales (TF 6B_655/2022 précité consid. 4.5). Ainsi, le Tribunal fédéral a confirmé la condamnation pour contrainte (art. 181 CP) à des amendes allant de 500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condamnés pour délit de contrainte (ATF 134 IV 216 consid. 5.2). La contrainte a également été retenue à l’encontre de manifestants qui avaient bloqué l’accès à un bâtiment où se tenait une exposition consacrée à l’armée par un « tapis humain », formé de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 46-47 ; TF 6B_655/2022 précité consid. 4.5).</w:t>
      </w:r>
    </w:p>
    <w:p>
      <w:r>
        <w:rPr>
          <w:b/>
        </w:rPr>
        <w:t>E. 5.3</w:t>
      </w:r>
    </w:p>
    <w:p>
      <w:r>
        <w:t>Il résulte des rapports de police (P. 4 et P. 6) que les manifestations des 20 septembre et 14 décembre 2019 n'étaient pas autorisées, les organi­sateurs n’ayant effectivement jamais sollicité la moindre autorisation pour ces deux événements. Dans les deux cas, les autorités municipales ignoraient la durée de la manifestation, son importance et les lieux ciblés par les manifestants, de sorte qu’elles ne disposaient pas des informations nécessaires qui leur auraient permis d’anticiper et d’assurer le bon déroulement de celles-ci en garantissant le maintien d’un service public indispensable comprenant les diverses interventions urgentes, en mettant en place des déviations pour les transports publics et les autres usagers de la route, et en anticipant les nuisances potentielles. Pour autant, les forces de l’ordre ont fait preuve de mesure dans leur intervention et ont, dans l’exercice de leurs fonctions – en particulier dans leurs prérogatives de maintien, plus exactement en l’occur­rence, de restauration de l’ordre et de la sécurité publics – respecté la liberté de réunion des manifestants, en privilégiant l’apaisement et le dialogue. On constate en outre que durant tout le temps nécessaire à la mise en place du dispositif de maintien de l’ordre, et ce nonobstant l’entrave majeure causée à la circulation, les manifestants ont eu le loisir d’exprimer librement leurs revendications. Au demeurant, l’évacuation des manifestants, qui s’est déroulée dans le calme lors des deux épisodes litigieux, s’est effectuée durant plusieurs heures, laps de temps qui aura aussi permis aux activistes d’exprimer leurs revendications, ce que les appelants ne contestent du reste pas. Dans ces circonstances, on doit considérer que l’ampleur des deux manifestations en cause dépassait celle qu’impliquait l’exercice normal de la liberté de réunion à laquelle les appelants pouvaient prétendre, de sorte qu’ils ne sauraient se prévaloir de leur liberté d'expression et de réunion en tant que fait justificatif au sens de l'art. 14 CP, qui les aurait ainsi autorisés à violer plusieurs dispositions légales. Ainsi, compte tenu de l’importance des perturbations causées, les appelants, en refusant de se disperser, s’exposaient à des sanctions de nature pénale. Le moyen relatif à une violation de la liberté de manifester doit être rejeté.</w:t>
      </w:r>
    </w:p>
    <w:p>
      <w:r>
        <w:rPr>
          <w:b/>
        </w:rPr>
        <w:t>E. 6.1</w:t>
      </w:r>
    </w:p>
    <w:p>
      <w:r>
        <w:t>Invoquant une violation de l'art. 239 CP, les appelants exposent que les lignes de transports publics n'ont certes pas pu emprunter les voies qui leur étaient dédiées, mais que les annonces préalables des manifestations ont permis une déviation des lignes, de sorte que les bus ont pu circuler sur une autre voie sans danger.</w:t>
      </w:r>
    </w:p>
    <w:p>
      <w:r>
        <w:rPr>
          <w:b/>
        </w:rPr>
        <w:t>E. 6.2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 e éd., Berne 2010, n. 6 ad art. 239 CP ; Dupuis et al., Petit commentaire du Code pénal, 2 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6.3</w:t>
      </w:r>
    </w:p>
    <w:p>
      <w:r>
        <w:t>En l’espèce, les autorités de la ville de Lausanne savaient que le collectif XR avait planifié des actions de blocage les 20 septembre 2019 et 16 décembre 2019, et pour la manifestation du 16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 ce n’est qu’au moment où les remorques ont été installées sur le pont et que les activistes sont arrivés en nombre à cet endroit que les autorités ont pu déterminer l’endroit choisi et, à la rue [...], ce n’est que lorsqu’une cinquantaine de personnes sont venues bloquer la rue avec des palettes en bois et des blocs en béton que les autorités ont compris que cette artère allait être bloquée. En d’autres termes, les autorités ont été prises au dépourvu et mises devant le fait accompli lors de ces deux manifestations. S'agissant des événements du 20 septembre 2019, le pont [...] a été bloqué dès 11h25, ce qui a créé un report de circulation conséquent sur les artères attenantes. La police a dû organiser une déviation du trafic. Ce n'est qu'à 19h55 que le pont [...] a été entièrement évacué et qu’il a été rendu à la circulation après un nettoyage des services communaux. Le blocage de ce pont a ainsi duré 8h30. Concernant la manifestation du 14 décembre 2019, les actions des manifestants ont interrompu le trafic des transports publics dès 10h55 pour toutes les lignes transitant par la place [...], ce qui a engendré des retards de 30 à 40 minutes et ces contraintes se sont répétées, dans une même mesure, sur la rue [...] dès sa fermeture à 10h05. Une ambulance a également été ralentie en raison de cette manifestation et la police a dû organiser un couloir en direction de la rue [...] pour qu’elle puisse quitter la rue [...] et se rendre au CHUV. Les effets de cette perturbation sur la rue [...] ont duré jusqu’à 16h18, soit durant plus de 5 heures. Lors des deux manifestations litigieuses, la circulation des transports publics a été sérieusement entravée. Pour ce qui est du Pont [...], les bus de la ligne [...] n’ont plus été en mesure de circuler sur l’axe en question. Quant à la rue [...], l’interruption du trafic des bus transitant par la place [...] a été répétées sur la rue [...]. De surcroît, dans un contexte urbain, les déviations mises en place d’urgence ont de toute évidence entraîné des retards en cascade sur tout le réseau des Transports publics lausannois, le Pont [...] et la rue [...] étant des points névralgiques de l’agglomération lausannoise. Le rapport de police établi après la manifestation du 20 septembre 2019 relève d’ailleurs expressément que le blocage du pont a créé un report de circulation conséquent sur les artères attenantes. Le refus des manifestants de ménager un passage pour les services d’urgence traduit également leur volonté de ne pas laisser passer les transports publics. Dans ces conditions, les faits reprochés aux appelants, qui admettent tous deux avoir participé aux manifestations des 20 septembre 2019 et 16 décembre 2019 en pratiquant le « sit-in » et en se tenant à d’autres manifestants, constituent précisément une entrave à un service d’intérêt général au sens de l’art. 239 CP, le trafic ayant été longuement interrompu. L’élément subjectif est également réalisé, puisque les appelants se sont, dans l’hypothèse la plus favorable, accommodés de cette situation, de sorte qu’ils ont agi à tout le moins par dol éventuel. Les conditions d’application de l'art. 239 CP étant réalisées, les condamnations des deux appelants pour l’infraction d’entrave aux services d’intérêt général doivent être confirmées.</w:t>
      </w:r>
    </w:p>
    <w:p>
      <w:r>
        <w:rPr>
          <w:b/>
        </w:rPr>
        <w:t>E. 7.1</w:t>
      </w:r>
    </w:p>
    <w:p>
      <w:r>
        <w:t>Les appelants soutiennent que le refus d'obtempérer aux injonctions de la police de quitter les lieux ne constitue pas un empêchement d'accomplir un acte officiel selon l’art. 286 CP, dès lors que cette disposition exige une résistance physique non réalisée dans le cas d'espèce.</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7.3</w:t>
      </w:r>
    </w:p>
    <w:p>
      <w:r>
        <w:t>Les deux appelants ont formellement été identifiés au nombre des manifestants ayant refusé de quitter les lieux spontanément, alors même que la police leur en avait donné la possibilité. Ils n'ont pas simplement refusé d'obtempérer à l'ordre qui leur était donné de quitter les lieux, mais ont activement résisté, de sorte que la police a dû procéder à leur évacuation. En effet, X1.________ a pour sa part reconnu avoir pratiqué le « sit-in » et s’être enchevêtrée à d’autres manifestants lors des deux manifestations litigieuses, et avoir ainsi dû être les deux fois portée par la police pour son évacuation. Quant à X2.________, qui, lors de la manifestation du 20 septembre 2019 avait introduit un bras dans un tube de métal et prétendait avoir la main collée à un autre manifestant qui en avait fait de même, il a dû être transpor­té à l’écart par la police avec son acolyte avant que ceux-ci ne sortent seuls de cette posture, et lors des faits du 14 décembre 2019, il s’était enchaîné à d’autres manifes­tants, de sorte que les pompiers ont dû intervenir pour briser la chaîne avant que la police ne le porte pour l’évacuer. Aussi, en ne respectant pas les injonctions poli­cières, X1.________ et X2.________ ont manifesté leur intention de rendre plus difficile, d’entraver ou à tout le moins de différer leur évacuation par les forces de l’ordre. C’est donc à juste titre que le Tribunal de police a retenu que les éléments constitutifs de l’art. 286 CP étaient réalisés. Partant, la condamnation des appelants pour violation de l'art. 286 CP doit également être confirmée.</w:t>
      </w:r>
    </w:p>
    <w:p>
      <w:r>
        <w:rPr>
          <w:b/>
        </w:rPr>
        <w:t>E. 8.1</w:t>
      </w:r>
    </w:p>
    <w:p>
      <w:r>
        <w:t>Les appelants contestent toute violation de l’art. 90 al. 1 LCR (Loi fédérale sur la circulation routière du 19 décembre 1958 ; RS 731.01) en lien avec une violation du principe d’accusation.</w:t>
      </w:r>
    </w:p>
    <w:p>
      <w:r>
        <w:rPr>
          <w:b/>
        </w:rPr>
        <w:t>E. 8.2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6B_696/2019 du 24 septembre 2019 consid. 1.2.1 ; TF 6B_1019/2018 du 2 novembre 2018 consid. 1.1 ; TF 6B_665/2017 du 10 janvier 2018 consid. 1.1).</w:t>
      </w:r>
    </w:p>
    <w:p>
      <w:r>
        <w:rPr>
          <w:b/>
        </w:rPr>
        <w:t>E. 8.3</w:t>
      </w:r>
    </w:p>
    <w:p>
      <w:r>
        <w:t>En l’espèce, les ordonnances pénales des 18 octobre 2019 (manifestation du 20 septembre 2019) et 17 décembre 2019 (manifestation du 14 décembre 2019), qui tiennent lieu d’actes d’accusation (art. 356 al. 1 CPP), retien­nent une violation simple des règles de la circulation (art. 90 al. 1 LCR), pour violation des art. 26 al. 1 LCR, 49 al. 2 LCR et 46 al. 2 OCR (Ordonnance sur les règles de la circulation routière du 13 novembre 1962 ; RS 741.11). Le premier juge a considéré que les art. 26 et 49 LCR ainsi que l’art. 46 OCR étaient des dispositions particulièrement générales et que l'art. 239 CP était une lex specialis qui absorbait les infractions à la LCR, de sorte qu'il n'y avait pas lieu de retenir un concours avec l'art. 239 CP. En revanche, il a retenu une violation de ces trois articles en lien avec le blocage des véhicules autres que ceux d’urgence et des transports publics. Les appelants invoquent ainsi que les ordonnances mentionnent uniquement le blocage du trafic pour les véhicules d’urgence et des transports publics en vertu de la maxime d’accusation qui dispose que les faits doivent être précisément décrits par le Ministère public. Le raisonnement du premier juge ne prête pas le flanc à la critique et doit être suivi. En effet, l’ordonnance pénale du 18 octobre 2019 indique expressé­ment que les manifestants ont bloqué la circulation et que le trafic des véhicules, notamment des véhicules d'urgence (police, pompiers, ambulances) et des bus de la ligne n o 16, a dû être dévié sur d'autres artères, et l’ordonnance pénale du 17 décembre 2019 mentionne que le trafic des transports publics et des véhicules privés a dû être interrompu. Il n’y a par conséquent aucune violation de la maxime d’accusation puisqu’il ressort des deux ordonnances que l’ensemble du trafic a été perturbé sur les lieux ciblés par les manifestations.</w:t>
      </w:r>
    </w:p>
    <w:p>
      <w:r>
        <w:rPr>
          <w:b/>
        </w:rPr>
        <w:t>E. 9.1</w:t>
      </w:r>
    </w:p>
    <w:p>
      <w:r>
        <w:t>Les appelants contestent leur condamnation pour contravention à la loi vaudoise sur les contraventions (LContr ; BLV 312.11) en relation avec l’art. 41 RGP (Règlement général de police de la Commune de Lausanne du 27 novembre 2011). Ils soutiennent que seuls les organisateurs des manifestations peuvent se voir imputer cette infraction et qu’il ne leur appartenait pas de se soucier de savoir si les manifestations étaient autorisées ou non.</w:t>
      </w:r>
    </w:p>
    <w:p>
      <w:r>
        <w:rPr>
          <w:b/>
        </w:rPr>
        <w:t>E. 9.2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9.3</w:t>
      </w:r>
    </w:p>
    <w:p>
      <w:r>
        <w:t>Les appelants savaient que les manifestations n’étaient pas autorisées, puisque les médias s’étaient fait l’écho d’une action de blocage que personne ne pouvait imaginer licite, que l’illicéité des manifestations faisait partie intégrante de la stratégie de XR et que les participants avaient reçu l’injonction de quitter la chaussée. X1.________ et X2.________ ont donc délibérément participé aux deux manifestations litigieuses tout en sachant qu’elles étaient illégales faute d’autorisation. Partant, leur condamnation à une amende selon l’art. 25 al. 1 LContr doit être confirmée.</w:t>
      </w:r>
    </w:p>
    <w:p>
      <w:r>
        <w:rPr>
          <w:b/>
        </w:rPr>
        <w:t>E. 10.1</w:t>
      </w:r>
    </w:p>
    <w:p>
      <w:r>
        <w:t>Les appelants, qui concluent à leur acquittement, ne contestent pas la quotité des peines pécuniaires infligées ni le montant des jours-amende retenu. Les peines infligées doivent toutefois être vérifiées d’office.</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10.2.2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10.2.3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10.2.4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10.3</w:t>
      </w:r>
    </w:p>
    <w:p>
      <w:r>
        <w:t>En l’espèce, la culpabilité des prévenus n’est pas anodine, dès lors qu’ils ont tous deux activement participé au blocage d’un des principaux ponts de la ville de [...], ainsi que de l’une de ses artères principales, lors de deux manifestations distinctes espacées de trois mois, provoquant d’importantes perturba­tions du trafic routier et la mise en place d’un dispositif policier conséquent, et s’opposant à leur évacuation, obligeant les policiers à effectuer les manœuvres d’extraction décrites dans les deux rapports de police (P. 4 et P. 6). De plus, le Pont [...] n’était pas dénué de dangerosité dans l’hypothèse où des débordements violents se seraient produits. A charge, il convient également de tenir compte du concours d’infractions. A décharge, il sera tenu compte du fait que les prévenus ont admis leur participation aux deux manifestations et que leur résistance était paci­fique. X1.________ et X2.________ n’ont pas d’antécédents. Le choix de la peine pécuniaire ne se discute pas pour les deux appelants, peine suffisante pour déployer l’effet préventif escompté. L’infraction la plus grave est l’entrave aux services d’intérêt général, qui justifie à elle seule une peine pécuniaire de 30 jours-amende pour les deux manifestations pour X1.________. Par l’effet du concours, les deux épisodes d’empêchement d’accomplir un acte officiel des mêmes jours justifient une augmentation de la peine pécuniaire de 15 jours-amende. Quant à X2.________, l’infraction d’entrave aux services d’intérêt général justifie également le prononcé d’une peine pécuniaire de 30 jours-amende pour les deux manifestations. Par l’effet du concours, les deux épisodes d’empêche­ment d’accomplir un acte officiel des mêmes jours – dont l’entrave à l’action des forces de l’ordre n’a pas été anodine puisque la police a dû, le 20 septembre 2019, le porter avant de négocier pour qu’il se désolidarise d’un autre manifestant et que le 14 décembre 2019, elle a été contrainte de faire appel aux pompiers pour le désoli­dariser d’autres manifestants avec lesquels il s’était enchaîné – justifient que la peine pécuniaire soit augmentée de 20 jours-amende pour les deux manifestations. Les peines pécuniaires d’ensemble arrêtée à 45 jours-amende pour X1.________ et à 50 jours amende pour X2.________ sanctionnent donc adéquatement leurs comporte­ments délictueux. Arrêtée à 30 fr. pour chacun des prévenus, la quotité du jour-amende correspond à la situation financière modeste des deux prévenus et s’avère donc conforme aux exigences de l’art. 34 al. 2 CP. Enfin, les deux prévenus remplissent les conditions d’octroi du sursis. Dans la mesure où tous deux ont commis les infractions du 14 décembre 2019 alors qu’ils venaient de se voir notifier une ordonnance pénale sanctionnant leur comportement lors de la manifestation du 20 septembre 2019, il se justifie d’arrêter le délai d’épreuve à 3 ans. Quant à l’amende de 200 fr., convertible en une peine privative de liberté de substitution de 2 jours, elle sera également confirmée pour les deux prévenus, ce montant étant adéquat pour sanctionner la violation simple des règles de la circulation routière et la contravention à la LContr commises par X1.________ et X2.________.</w:t>
      </w:r>
    </w:p>
    <w:p>
      <w:r>
        <w:rPr>
          <w:b/>
        </w:rPr>
        <w:t>E. 11</w:t>
      </w:r>
    </w:p>
    <w:p>
      <w:r>
        <w:t>En définitive, les appels de X1.________ et de X2.________ doivent être rejetés et le jugement entrepris confirmé. Vu l’issue de la cause, les frais de la procédure d’appel, constitués en l’espèce du seul émolument de jugement, par 3'370 fr. (art. 21 al. 1 et 2 TFIP [Tarif des frais de procédure et indemnités en matière pénale du 28 septembre 2010 ; BLV 312.03.1]), seront mis par moitié, soit 1'685 fr., à la charge de chacun des deux appelants, qui succombent (art. 418 al. 1 et 428 al. 1, 1 re phrase CPP). Délibérant immédiatement et à huis clos, la Cour d’appel pénale, appliquant à X1.________ les art. 34, 42 al. 1, 44, 49 al. 1, 106, 239 ch. 1, 286 CP ; 90 al. 1 LCR en relation avec 26 al. 1, 49 al. 2 LCR et 46 al. 2 OCR ; 25 al. 1 LContr en relation avec 41 RGP ; 398 ss CPP, appliquant à X2.________ les art. 34, 42 al. 1, 44, 49 al. 1, 106, 239 ch. 1, 286 CP ; 90 al. 1 LCR en relation avec 26 al. 1, 49 al. 2 LCR et 46 al. 2 OCR ; 25 al. 1 LContr en relation avec 41 RGP ; 398 ss CPP, prononce : I. Les appels de X2.________ et de X1.________ sont rejetés. II. Le jugement rendu le 15 décembre 2021 par le Tribunal de police de l’arrondissement de Lausanne est confirmé selon le dispositif suivant : « I. à IV Inchangés. V. condamne X2.________ pour entrave aux services d’intérêt général, empêchement d’accomplir un acte officiel, violation simple des règles de la circulation routière et contravention la Loi vaudoise sur les contraventions à une peine pécuniaire de 50 (cinquante) jours-amende à 30 fr. (trente francs) le jour et à une amende de 200 fr. (deux cents francs). VI. suspend l’exécution de la peine pécuniaire mentionnée au chiffre V ci-dessus, impartit à X2.________ un délai d’épreuve de 3 (trois) ans et dit qu’en cas de non-paiement fautif de l’amende, la peine privative de liberté de substitution sera de 2 (deux) jours. VII. condamne X1.________ pour entrave aux services d’intérêt général, empêchement d’accomplir un acte officiel, violation simple des règles de la circulation routière et contravention à la Loi vaudoise sur les contraventions à une peine pécuniaire de 45 (quarante-cinq) jours-amende à 30 fr. (trente francs) le jour et à une amende de 200 fr. (deux cents francs). VIII. suspend l’exécution de la peine pécuniaire mentionnée au chiffre VII ci-dessus, impartit à X1.________ un délai d’épreuve de 3 (trois) ans et dit qu’en cas de non-paiement fautif de l’amende, la peine privative de liberté de substitution sera de 2 (deux) jours. IX. met les frais par 1'325 fr. à la charge de [...], par 1'400 fr. à la charge de [...], par 1'325 fr. à la charge de X2.________ et par 1'250 fr. à la charge de X1.________. » III. Les frais d'appel, par 3'370 fr., sont mis par moitié, soit 1'685 fr., à la charge de X2.________ et par moitié, soit 1'685 fr., à la charge de X1.________. IV. Le présent jugement est exécutoire. La présidente : La greffière : Du Le jugement qui précède, dont le dispositif a été communiqué par écrit aux intéressés le 9 novembre 2022 , est notifié, par l'envoi d'une copie complète, à : - Me Roxane Allot, avocate (pour X1.________), - Me Daniel Trajilovic, avocat (pour X2.________),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