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259 vom 27. September 2021</w:t>
      </w:r>
    </w:p>
    <w:p>
      <w:r>
        <w:t>VD Tribunal cantonal, 2021-09-27, FR</w:t>
      </w:r>
    </w:p>
    <w:p>
      <w:r>
        <w:rPr>
          <w:b/>
        </w:rPr>
        <w:t xml:space="preserve">Quelle: </w:t>
      </w:r>
      <w:r>
        <w:t>https://mcp.opencaselaw.ch/entscheid/vd_findinfo_Jug___2022___259</w:t>
      </w:r>
    </w:p>
    <w:p>
      <w:r>
        <w:t>FR: VD_FINDINFO Jug / 2022 / 259 du 27 septembre 2021</w:t>
      </w:r>
    </w:p>
    <w:p>
      <w:r>
        <w:t>IT: VD_FINDINFO Jug / 2022 / 259 del 27 settembre 2021</w:t>
      </w:r>
    </w:p>
    <w:p>
      <w:pPr>
        <w:pStyle w:val="Heading2"/>
      </w:pPr>
      <w:r>
        <w:t>Regeste</w:t>
      </w:r>
    </w:p>
    <w:p>
      <w:r>
        <w:t>INFRACTIONS CONTRE LE DOMAINE SECRET, APPRÉCIATION DES PREUVES, PROCÉDURE ÉCRITE | 179ter CP, 47 CP</w:t>
      </w:r>
    </w:p>
    <w:p>
      <w:pPr>
        <w:pStyle w:val="Heading2"/>
      </w:pPr>
      <w:r>
        <w:t>Erwägungen</w:t>
      </w:r>
    </w:p>
    <w:p>
      <w:r>
        <w:rPr>
          <w:b/>
        </w:rPr>
        <w:t>E. 1.1</w:t>
      </w:r>
    </w:p>
    <w:p>
      <w:r>
        <w:t>Interjeté dans les formes et délais légaux (art. 385 et 399 CPP [Code de procédure pénale suisse du 5 octobre 2007 ; RS 312.0]) par une partie qui a qualité pour recourir (art. 382 CPP) contre un jugement du tribunal de première instance ayant clos la procédure (art. 398 CPP), l’appel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 étant traité en procédure écrite, l’appelant a renoncé à sa réquisition de preuve tendant à l’audition de l’expert privé, D.________. Dans son mémoire motivé, il estime cependant que le premier juge lui aurait arbitrairement refusé de nommer un expert judiciaire pour aboutir à la conclusion de sa culpabilité (cf. P. 77 p. 59).</w:t>
      </w:r>
    </w:p>
    <w:p>
      <w:r>
        <w:rPr>
          <w:b/>
        </w:rPr>
        <w:t>E. 3.1</w:t>
      </w:r>
    </w:p>
    <w:p>
      <w:r>
        <w:t>Le droit d'être entendu, garanti à l'art. 29 al. 2 Cst., comprend notamment celui de produire ou de faire administrer des preuves, à condition qu'elles soient pertinentes et de nature à influer sur la décision à rendre (ATF 145 I 73 consid. 7.2.2.1 ; ATF 143 V 71 consid. 4.1 ; ATF 142 II 218 consid. 2.3 p.; ATF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 ATF 141 I 60 consid. 3.3 ; ATF 136 I 229 consid. 5.3 ; TF 6B_66/2022 du 19 avril 2022 consid. 2.1).</w:t>
      </w:r>
    </w:p>
    <w:p>
      <w:r>
        <w:rPr>
          <w:b/>
        </w:rPr>
        <w:t>E. 3.2</w:t>
      </w:r>
    </w:p>
    <w:p>
      <w:r>
        <w:t>En l’espèce, ni la mise en œuvre d’une expertise, ni l’audition de l’expert, ne sont nécessaires pour le traitement de l’appel, compte tenu du rapport déjà établi par l’expert privé de l’appelant (P. 27/1). Ce rapport est en effet clair et complet et l’appelant ne paraît pas en disconvenir (cf. supra let. B). C’est ainsi sans arbitraire que le premier juge n’est pas entré en matière sur la requête de l’appelant tendant à l’audition de l’expert ou à la mise en œuvre d’une nouvelle expertise, ces mesures n’étant pas pertinentes.</w:t>
      </w:r>
    </w:p>
    <w:p>
      <w:r>
        <w:rPr>
          <w:b/>
        </w:rPr>
        <w:t>E. 4</w:t>
      </w:r>
    </w:p>
    <w:p>
      <w:r>
        <w:t>L’appelant remet en question la qualité de plaignant de K.________ pour le motif que son courrier du 5 février 2019 devrait être interprété comme un retrait de sa plainte. Contrairement à ce que soutient l’appelant, on ne peut pas inférer de l’échange de courriers entre le Ministère public et le plaignant (P. 6 et 11) que ce dernier aurait retiré sa plainte à l’encontre de l’appelant. C'est tout le contraire : le plaignant dit que la façon de procéder des prévenus ne devait « pas être tolérée sous nos latitudes » et n'avoir « aucune condition à poser au retrait de sa plainte pénale » (P. 11). Le grief, mal fondé, doit être rejeté.</w:t>
      </w:r>
    </w:p>
    <w:p>
      <w:r>
        <w:rPr>
          <w:b/>
        </w:rPr>
        <w:t>E. 5</w:t>
      </w:r>
    </w:p>
    <w:p>
      <w:r>
        <w:t>S’il ne conteste pas que les faits qui lui sont reprochés soient constitutifs de l’infraction d’enregistrement non autorisé de conversation, l’appelant conteste toutefois sa condamnation pour cette infraction. Il soutient que Q.________ aurait agi à son insu pour placer un micro espion dans son téléphone portable et qu’il l’aurait enclenché à distance pour enregistrer la conversation qu’il avait eue avec le plaignant. Il reproche au premier juge d’avoir écarté de façon arbitraire sa version et se prévaut d’une constatation inexacte des faits et d’une violation de la présomption d’innocence.</w:t>
      </w:r>
    </w:p>
    <w:p>
      <w:r>
        <w:rPr>
          <w:b/>
        </w:rPr>
        <w:t>E. 5.1.1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5.1.2</w:t>
      </w:r>
    </w:p>
    <w:p>
      <w:r>
        <w:t>Aux termes de l’art. 179ter CP, se rend coupable d’enregistrement non autorisé de conversations celui qui, sans le consentement des autres interlocuteurs, aura enregistré sur un porteur de son une conversation non publique à laquelle il prenait part sera, sur plainte, puni d’une peine privative de liberté d’un an au plus ou d’une peine pécuniaire. Selon la jurisprudence, pour déterminer si une conversation est « non publique » au sens des art. 179bis et 179ter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 (ATF 146 IV 126 consid. 3.6). Le lieu devra être pris en considération s'agissant notamment de déterminer s'il s'agit d'un cercle privé ou au contraire accessible à tous (cf. Dupuis et al., Petit commentaire du Code pénal, 2 e éd., Bâle 2017, n. 6 ad art.179bis CP).</w:t>
      </w:r>
    </w:p>
    <w:p>
      <w:r>
        <w:rPr>
          <w:b/>
        </w:rPr>
        <w:t>E. 5.2</w:t>
      </w:r>
    </w:p>
    <w:p>
      <w:r>
        <w:t>Le premier juge a considéré que les dénégations de l’appelant n’étaient pas crédibles pour les motifs qui suivent : il a tout d’abord remis en question la véracité des déclarations faites par Q.________ le 11 avril 2019, selon lesquelles ce serait lui qui aurait déclenché l’enregistrement via un autre appareil qu’il avait sur lui alors qu’il se trouvait dans une pièce voisine du bureau du plaignant (PV aud. 1, Q. 2). A ce sujet, le premier juge a relevé ce qui suit : Q.________ expose qu’il a déclenché l’enregistrement au début de l’entretien entre l’appelant et le plaignant. En réalité, l’enregistrement – qui est supposé débuter au début de la rencontre dans un bureau précis – commence bien avant puisque l’on entend des bruits extérieurs à cette pièce supposée fermée (portes, pas). Ensuite, Q.________ situe l’entretien dans le bureau de K.________ et précise qu’il se trouvait dans une pièce voisine. Il se trompe d’endroit puisque l’entretien entre l’appelant et le plaignant a eu lieu dans la salle de la municipalité, ce qui n'aurait pu lui échapper s’il s’était vraiment trouvé dans un local voisin du bureau du plaignant comme il l’affirme. Enfin, Q.________ ne donne aucun détail sur l’éventuelle application qui aurait permis cet enregistrement (cf. jgmt, p. 15). Le magistrat a également écarté la thèse de l’appelant, selon laquelle Q.________ aurait – à son insu – pris le contrôle de son téléphone pour procéder à l’enregistrement litigieux. Il a rappelé que l’appelant ne l’avait évoquée que lors de son audition du 20 juin 2019 (PV aud. 3) après avoir été informé par Q.________ du déroulement de sa propre audition et des questions posées par le procureur en avril 2019. Le premier juge a encore relevé une incohérence dans les propos tenus par les deux prévenus, l’appelant affirmant que son acolyte ne connaissait pas le motif de la réunion prévue entre lui et le plaignant (PV aud. 3, Q. 8, p. 2) alors que Q.________ a déclaré que la réunion avait pour but d’aborder des problèmes relationnels, en particulier d’éventuels propos racistes tenus par K.________ à l’encontre de l’appelant (PV aud. 1, Q. 2, p. 2). Il s’est encore étonné de la passivité de l’appelant alors qu’il aurait été utilisé par Q.________ pour piéger le plaignant et que ses conversations privées auraient également pu être enregistrées. Le magistrat a enfin relevé que Q.________ n’avait pas contesté les faits retenus dans l’ordonnance pénale du 6 mai 2020 le concernant alors que ces faits étaient précisément les mêmes que ceux également reprochés à l’appelant, soit que les deux hommes avaient agi de concert. Cette appréciation des preuves, complète et convaincante, ne prête pas le flanc à la critique et doit être confirmée. De manière générale, on peut s’interroger sur le fait qu’un ami place, à l’insu d’un autre, un micro espion dans son téléphone portable. Plus étonnant encore est le fait que l’appelant ne s’en formalise guère. S’ajoutent à ceci, toutes les incohérences relevées par le premier juge dans l’exposé fourni par Q.________ le 29 mai 2018 qui dictent d’écarter la thèse de l’enregistrement à distance et, partant, celle du logiciel espion. On ne discerne dès lors ni constatation erronée des faits, ni violation de la présomption d’innocence. On relève encore que tant l’appelant et que Q.________, qui étaient amis, avaient des raisons d’agir à l’encontre du plaignant, le premier pour s’assurer de la poursuite du mandat confié à son entreprise de nettoyage par la Municipalité de [...] et le second pour ne plus être confronté à un collègue avec qui les relations étaient conflictuelles comme cela ressort du jugement entrepris (cf. jgmt, pp. 7, 8). L’appelant, comme quiconque, sait qu’il est interdit d’enregistrer autrui à son insu (PV aud. 3, Q. 20, p. 5). Il a agi intentionnellement. Dès lors, les éléments constitutifs de l’infraction visée à l’art. 179ter al. 1 CP sont bien réunis et la condamnation de l’appelant doit être confirmée et l’appel, mal fondé, rejeté.</w:t>
      </w:r>
    </w:p>
    <w:p>
      <w:r>
        <w:rPr>
          <w:b/>
        </w:rPr>
        <w:t>E. 6</w:t>
      </w:r>
    </w:p>
    <w:p>
      <w:r>
        <w:t>A titre subsidiaire, si sa culpabilité devait être reconnue, l’appelant requiert d’être mis au bénéfice de l’art. 52 CP.</w:t>
      </w:r>
    </w:p>
    <w:p>
      <w:r>
        <w:rPr>
          <w:b/>
        </w:rPr>
        <w:t>E. 6.1</w:t>
      </w:r>
    </w:p>
    <w:p>
      <w:r>
        <w:t>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op. cit., n. 3 ad art. 52 CP et les références citées).</w:t>
      </w:r>
    </w:p>
    <w:p>
      <w:r>
        <w:rPr>
          <w:b/>
        </w:rPr>
        <w:t>E. 6.2</w:t>
      </w:r>
    </w:p>
    <w:p>
      <w:r>
        <w:t>Comme le premier juge, on doit retenir que la culpabilité de l’appelant n’est pas négligeable. L’infraction retenue à son encontre constitue une violation de la sphère privée du plaignant. Son comportement est d’autant plus blâmable qu’il ne pouvait ignorer que le but de l’enregistrement était de s’en servir contre le plaignant. On précise encore que cet enregistrement a été entendu par plusieurs employés de la municipalité, ce qui n'est pas anodin au vu des tensions qui existaient entre les protagonistes. Compte tenu de ce qui précède, on ne peut considérer que l’infraction dont s’est rendu coupable l’appelant n'a entraîné aucun dommage pour le plaignant. Enfin, l’appelant ne semble pas avoir pris conscience de sa propre faute de sorte que, tant du point de vue de la prévention générale que de celui de la prévention spéciale, il n’apparait pas injustifié de prononcer une sanction pénale à son encontre. Par conséquent, les conditions d’application de l’art. 52 CP ne sont pas réalisées. L’appel, mal fondé, doit être rejeté sur ce point également.</w:t>
      </w:r>
    </w:p>
    <w:p>
      <w:r>
        <w:rPr>
          <w:b/>
        </w:rPr>
        <w:t>E. 7</w:t>
      </w:r>
    </w:p>
    <w:p>
      <w:r>
        <w:t>L ’appelant, qui conclut à son acquittement, ne conteste pas la quotité de la peine infligée. Elle doit toutefois être vérifiée d’office.</w:t>
      </w:r>
    </w:p>
    <w:p>
      <w:r>
        <w:rPr>
          <w:b/>
        </w:rPr>
        <w:t>E. 7.1.1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7.1.2</w:t>
      </w:r>
    </w:p>
    <w:p>
      <w:r>
        <w:t>Selon l'art. 46 al. 1, 1 re phrase, CP, si, durant le délai d’épreuve, le condamné commet un crime ou un délit et qu’il y a dès lors lieu de prévoir qu’il commettra de nouvelles infractions, le juge révoque le sursis ou le sursis partiel. Selon l'art. 46 al. 2, 1 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 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 er mai 2020 consid. 3.1).</w:t>
      </w:r>
    </w:p>
    <w:p>
      <w:r>
        <w:rPr>
          <w:b/>
        </w:rPr>
        <w:t>E. 7.2</w:t>
      </w:r>
    </w:p>
    <w:p>
      <w:r>
        <w:t>En l’espèce, le premier juge a condamné l’appelant à 50 jours-amende, le montant du jour-amende étant fixé à 50 francs. Il a retenu à charge, outre l’antécédent judiciaire, que l’appelant s’était accommodé du comportement illicite de Q.________ et n’avait pas pris conscience de sa propre faute, raison pour laquelle la peine devait être ferme. Il a cependant considéré que l’exécution de ladite peine aurait un effet suffisamment dissuasif pour détourner l’appelant de commettre de nouvelles infractions et a dès lors renoncé à révoquer le sursis accordé le 26 septembre 2017, se contentant de prolonger le délai d’épreuve d’une année. Cette appréciation doit également être confirmée. L’appelant a en effet récidivé quelques mois à peine après une condamnation à 120 jours-amende prononcée avec sursis. Cette menace ne l’a pas dissuadé d’agir. Ses dénégations constantes démontrent une absence de prise de conscience de sa faute de sorte que le pronostic est effectivement défavorable. La sanction prononcée est proportionnée à la faute commise. L’appelant ne conteste pas le montant du jour-amende qui peut être confirmé. L’appel, mal fondé, doit être rejeté.</w:t>
      </w:r>
    </w:p>
    <w:p>
      <w:r>
        <w:rPr>
          <w:b/>
        </w:rPr>
        <w:t>E. 8</w:t>
      </w:r>
    </w:p>
    <w:p>
      <w:r>
        <w:t>L’appelant fait valoir que, si la qualité de plaignant devait être reconnue à K.________, l’indemnité de l’art. 433 CPP allouée par 7'000 fr. en sa faveur est excessive.</w:t>
      </w:r>
    </w:p>
    <w:p>
      <w:r>
        <w:rPr>
          <w:b/>
        </w:rPr>
        <w:t>E. 8.1</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 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8.2</w:t>
      </w:r>
    </w:p>
    <w:p>
      <w:r>
        <w:t>En l’espèce, le conseil du plaignant a produit une liste d’opérations couvrant la période du 13 décembre 2018 au 24 septembre 2019, faisant état d’une activité de 21h10 au tarif horaire de 350 francs (P. 57). Le premier juge a alloué une indemnité de 7'000 fr., réduisant légèrement la durée alléguée par l’avocat. Contrairement à ce que soutient l’appelant, cette durée n’est pas excessive. En effet, on relève tout d’abord que – contrairement à l’appelant dont le défenseur n’est intervenu que plus tard dans la procédure – le plaignant a fait appel à un conseil professionnel dès qu’il a été informé de l’infraction commise. Par ailleurs, l’intervention dudit conseil était nécessaire pour sauvegarder les intérêts du plaignant dont la réputation et l’honorabilité étaient remises en question auprès de ses collègues de la Municipalité de [...]. On ne peut suivre le grief de l’appelant tiré du fait que certaines activités déployées par l’avocat concernaient Q.________ et ne devaient pas être retenues pour fixer l’indemnité mise à sa charge. En effet, l’appelant et Q.________ ont agi de concert à l’encontre du plaignant et ont été entendus dans le cadre de la même enquête, sans que l’on observe de doublons. Enfin, on relève que l’appelant a, quant à lui, requis l’allocation de 9'623 fr. 70 en sa faveur au titre de l’indemnité de l’art. 429 CPP, alléguant avoir consacré 18 heures à ce mandat, rémunérées au tarif horaire de 450 fr. (P. 58/5). En comparaison à ce montant, l’indemnité allouée au plaignant par le premier juge n'est pas excessive. Ceci posé, la Cour considère que le tarif horaire appliqué – 350 fr. – est excessif, s’agissant d’une affaire de police, tranchant le mérite d’une plainte portant sur une seule infraction poursuivie sur plainte. Quant à l’affaire en elle-même, elle ne présente guère de difficultés particulières. Un tarif horaire de 300 fr. est adéquat. L’indemnité à laquelle K.________ peut prétendre au titre de l’art. 433 CPP sera ramenée à 6'450 fr. (21h30 x 300).</w:t>
      </w:r>
    </w:p>
    <w:p>
      <w:r>
        <w:rPr>
          <w:b/>
        </w:rPr>
        <w:t>E. 9</w:t>
      </w:r>
    </w:p>
    <w:p>
      <w:r>
        <w:t>L’appelant conclut au versement en sa faveur d’une indemnité de 9'793 fr. (P. 77) pour les dépenses occasionnées par l’exercice raisonnable de ses droits en première instance et à ce que les frais de procédure soient laissés à la charge de l’Etat. Dès lors que sa condamnation pour enregistrement non autorisé de conversation est confirmée, cette conclusion doit être rejetée.</w:t>
      </w:r>
    </w:p>
    <w:p>
      <w:r>
        <w:rPr>
          <w:b/>
        </w:rPr>
        <w:t>E. 10</w:t>
      </w:r>
    </w:p>
    <w:p>
      <w:r>
        <w:t>En définitive, l’appel de H.________ doit être très partiellement admis dans le sens des considérants qui précèdent (cf. consid. 8.2). L’intimé, qui a conclu au rejet intégral de l’appel, obtient largement gain de cause puisque la culpabilité de l’appelant est confirmée et que l’admission très partielle de l’appel ne porte que sur le tarif horaire appliqué pour fixer l’indemnité due par l’appelant à l’intimé au sens de l’art. 433 CPP. L’intimé n’avait toutefois à se déterminer que sur la seule question des dépens qui lui avaient été alloués par le premier juge. Dans ces conditions, même si l’intimé est largement victorieux, il est équitable de compenser les dépens de deuxième instance. En équité également, la part des frais de la procédure d’appel qui aurait dû être supportée par l’intimé sera laissée à la charge de l’Etat. Vu l’issue de la cause, les frais de la procédure d’appel, constitués du seul émolument de jugement, par 1’760 fr. (art. 21 al. 1 TFIP [tarif des frais de procédure et indemnités en matière pénale du 28 septembre 2010 ; BLV 312.03.1), seront mis à la charge de H.________ à raison de sept huitième, soit 1’540 fr.,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