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240 vom 13. Juni 2022</w:t>
      </w:r>
    </w:p>
    <w:p>
      <w:r>
        <w:t>VD Tribunal cantonal, 2022-06-13, FR</w:t>
      </w:r>
    </w:p>
    <w:p>
      <w:r>
        <w:rPr>
          <w:b/>
        </w:rPr>
        <w:t xml:space="preserve">Quelle: </w:t>
      </w:r>
      <w:r>
        <w:t>https://mcp.opencaselaw.ch/entscheid/vd_findinfo_Jug___2022___240</w:t>
      </w:r>
    </w:p>
    <w:p>
      <w:r>
        <w:t>FR: VD_FINDINFO Jug / 2022 / 240 du 13 juin 2022</w:t>
      </w:r>
    </w:p>
    <w:p>
      <w:r>
        <w:t>IT: VD_FINDINFO Jug / 2022 / 240 del 13 giugno 2022</w:t>
      </w:r>
    </w:p>
    <w:p>
      <w:pPr>
        <w:pStyle w:val="Heading2"/>
      </w:pPr>
      <w:r>
        <w:t>Regeste</w:t>
      </w:r>
    </w:p>
    <w:p>
      <w:r>
        <w:t>RÉVISION{DÉCISION}, DEMANDE ADRESSÉE À L'AUTORITÉ, DÉCISION D'IRRECEVABILITÉ | 310 CPP (CH), 323 CPP (CH), 410 al. 1 let. a CPP (CH)</w:t>
      </w:r>
    </w:p>
    <w:p>
      <w:pPr>
        <w:pStyle w:val="Heading2"/>
      </w:pPr>
      <w:r>
        <w:t>Erwägungen</w:t>
      </w:r>
    </w:p>
    <w:p>
      <w:r>
        <w:rPr>
          <w:b/>
        </w:rPr>
        <w:t>E. 1</w:t>
      </w:r>
    </w:p>
    <w:p>
      <w:r>
        <w:t>Selon l’art. 410 al. 1 let. a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La qualité de partie (art. 382 al. 1 CPP) pour une demande de révision est reconnue au prévenu, ainsi qu’à toute personne qui a un intérêt juridiquement protégé à l’annulation ou à la modification de la décision (Rémy in : Kuhn/Jeanneret [éd.], Commentaire roman, Code de procédure pénale suisse, Bâle 2011, n. 7 ad. art. 410 CPP ; Fingerhuth in : Donatsch/Hansjakob/Lieber, n. 47 ad. art. 410 CPP) ; cela comprend notamment le lésé et la partie plaignante. Selon l’art. 412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(TF 6B_32/2022 du 5 mai 2022 consid. 1.4 ; 6B_1197/2020 du 19 juillet 2021 consid. 1.1). A teneur de l’art. 323 al. 1 CPP, le ministère public ordonne la reprise d’une procédure préliminaire close par une ordonnance de classement entrée en force s’il a connaissance de nouveaux moyens de preuves ou de faits nouveaux qui révèlent une responsabilité pénale du prévenu (let. a) et ne ressortent pas du dossier antérieur (let. b). L’art. 323 CPP est également applicable à la reprise de la procédure préliminaire à la suite d’une ordonnance de non-entrée en matière par le renvoi de l’art. 310 al. 2 CPP (cf. aussi l’art. 11 al. 2 CPP). Les conditions sont les mêmes que celles prévues à l’art. 323 al. 1 CPP, mais les exigences sont cependant moins élevées que dans le cas d’un classement (Moreillon/Parein-Reymond Code de procédure pénale, 2013, n. 21 ad art. 310 CPP ; Niklaus Schmid, Schweizerische Strafprozessordnung, Praxiskommentar, 2 ème éd. 2013, n. 8 ad. art. 310 CPP ; ATF 141 IV 194 consid. 2 ; TF 6B_1135/2016 du 24 novembre 2017 consid. 3.1 ; TF 6B_1015/2013 du 8 avril 2014 consid. 5.1). Nonobstant sa note marginale « reprise de la procédure préliminaire », l’art. 323 CPP prévoit en réalité une forme de révision, ouverte uniquement aux conditions posées par cette disposition (Roth, in : Kuhn/Jeanneret [éd.], Commentaire romand, Code de procédure pénale suisse, Bâle 2011, nn. 1 et 2 ad art. 323 CPP).</w:t>
      </w:r>
    </w:p>
    <w:p>
      <w:r>
        <w:rPr>
          <w:b/>
        </w:rPr>
        <w:t>E. 2</w:t>
      </w:r>
    </w:p>
    <w:p>
      <w:r>
        <w:t>En l’occurrence, la demande de révision de M.________ vise un arrêt de la CREP, qui n’est pas une décision finale susceptible d’être revue au sens de l’art. 410 al. 1 CPP. Pour ce motif, la demande de révision de M.________ est irrecevable. Pour le surplus, le requérant revient longuement sur le déroulement des procédures civiles et pénales qui l’ont opposé à son ex-conjointe, A.O.________, assistée de l’avocate K.________. Ce faisant, il présente sa version des faits sans rendre vraisemblable l’existence d’éléments nouveaux qui étaient inconnus du Ministère public, division affaires spéciales, au moment où il a refusé d’entrer en matière. Au contraire, il réitère les mêmes griefs que ceux qui étaient les siens à l’encontre de l’avocate K.________, au moment de son dépôt de plainte pénale, le 26 août 2020. Cela étant, l’art. 323 CPP prévoit la voie de l’ouverture d’une instruction pénale, consécutivement à une ordonnance de non-entrée en matière, aux conditions énoncées ci-dessus (consid. 1). Le cas échéant, il appartiendra à M.________ de présenter les éléments dont il se prévaut directement au Ministère public central, division affaires spéciales, qui appréciera si les conditions de l’art. 323 CPP sont réalisées en l’espèce.</w:t>
      </w:r>
    </w:p>
    <w:p>
      <w:r>
        <w:rPr>
          <w:b/>
        </w:rPr>
        <w:t>E. 3</w:t>
      </w:r>
    </w:p>
    <w:p>
      <w:r>
        <w:t>Il s’ensuit que la demande de révision présentée par M.________ doit être déclarée irrecevable, sans échange d’écritures (art. 412 al. 2 CPP). Les frais de la procédure de révision, constitués du seul émolument d’arrêt, par 550 fr. (art. 21 al. 1 et 22 TFIP [tarif des frais de procédure et indemnités en matière pénale du 28 septembre 2010 ; BLV 312.03.1]), seront mis à la charge du requérant,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