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237 vom 7. Januar 2022</w:t>
      </w:r>
    </w:p>
    <w:p>
      <w:r>
        <w:t>VD Tribunal cantonal, 2022-01-07, FR</w:t>
      </w:r>
    </w:p>
    <w:p>
      <w:r>
        <w:rPr>
          <w:b/>
        </w:rPr>
        <w:t xml:space="preserve">Quelle: </w:t>
      </w:r>
      <w:r>
        <w:t>https://mcp.opencaselaw.ch/entscheid/vd_findinfo_Jug___2022___237</w:t>
      </w:r>
    </w:p>
    <w:p>
      <w:r>
        <w:t>FR: VD_FINDINFO Jug / 2022 / 237 du 7 janvier 2022</w:t>
      </w:r>
    </w:p>
    <w:p>
      <w:r>
        <w:t>IT: VD_FINDINFO Jug / 2022 / 237 del 7 gennaio 2022</w:t>
      </w:r>
    </w:p>
    <w:p>
      <w:pPr>
        <w:pStyle w:val="Heading2"/>
      </w:pPr>
      <w:r>
        <w:t>Regeste</w:t>
      </w:r>
    </w:p>
    <w:p>
      <w:r>
        <w:t>EXPULSION{DROIT PÉNAL}, LÉSION CORPORELLE GRAVE, INTENTION, IRRESPONSABILITÉ, RESPONSABILITÉ{DROIT PÉNAL}, ALCOOLISME | 12 al. 2 CP, 122 CP, 19 al. 2 CP, 19 CP, 22 ad 122 CP, 66a al. 1 let. b CP, 66a CP</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M.________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invoque une violation de la présomption d’innocence et des constatations manifestement incomplètes ou erronées concernant sa consommation d’alcool, son intention de blesser le plaignant et l’usage qu’il a fait du couteau. Enfin, il fait valoir que le premier juge aurait abusé de son pouvoir d’appréciation en écartant sa version exculpatoire.</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[édit.],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du 16 décembre 1966 ; RS 0.103.2) et 6 par. 2 CEDH,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Les déclarations de la victime constituent un élément de preuve. Le juge doit, dans l’évaluation globale de l’ensemble des éléments probatoires rassemblés au dossier, les apprécier librement (TF 6B_219/2020 du 4 août 2020 consid. 2.1 ; TF 6B_332/2020 du 9 juin 2020 consid. 3.2 et les références citées), sous réserve des cas particuliers où une expertise de la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6B_219/2020 précité ; TF 6B_332/2020 précité).</w:t>
      </w:r>
    </w:p>
    <w:p>
      <w:r>
        <w:rPr>
          <w:b/>
        </w:rPr>
        <w:t>E. 3.2.2</w:t>
      </w:r>
    </w:p>
    <w:p>
      <w:r>
        <w:t>Selon l’art. 12 al. 2 CP (Code pénal suisse du 21 décembre 1937 ; RS 311.0),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[édit.], Petit Commentaire du Code pénal, 2 e éd., Bâle 2017, n. 10 ad art. 12 CP et les références citées). Ces trois formes correspondent à un comportement intentionnel au sens de l’art. 12 al. 2 CP. Il y a dol éventuel lorsque l'auteur tient pour possible la réalisation de l'infraction, même s'il ne la souhaite pas, parce qu'il s'accommode du résultat pour le cas où il se produirait (ATF 135 IV 152 consid. 2.3.2 ; ATF 133 IV 9 consid. 4.1 ; ATF 131 IV 1 consid. 2.2 ; TF 6B_991/2020 du 27 août 2021 consid. 1.2.2). Faute d'aveux, le juge ne peut, en règle générale, déduire la volonté interne de l'intéressé qu'en se fondant sur des indices extérieurs et des règles d'expérience. Parmi les éléments extérieurs permettant de conclure que l'auteur s'est accommodé du résultat, la jurisprudence retient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 ATF 134 IV 26 consid. 3.2.2, JdT 2009 IV 43 ; TF 6B_1279/2020 du 30 juin 2021 consid. 2.1.2 et les références citées). Il n'est cependant pas nécessaire que le risque de voir le danger se concrétiser soit particulièrement élevé pour admettre le dol éventuel (ATF 134 IV 26 précité ; ATF 133 IV 9 précité ; TF 6B_721/2020 et TF 6B_730/2020 du 11 février 2021 consid. 4.1.1).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et les références citées ; TF 6B_366/2020 et TF 6B_404/2020 du 17 novembre 2020 consid. 3.1.1 ; TF 6B_924/2017 du 14 mars 2018 consid. 1.1.2). Peuvent également constituer des éléments extérieurs révélateurs les mobiles de l'auteur et la manière dont il a agi (ATF 138 V 74 précité).</w:t>
      </w:r>
    </w:p>
    <w:p>
      <w:r>
        <w:rPr>
          <w:b/>
        </w:rPr>
        <w:t>E. 3.2.3</w:t>
      </w:r>
    </w:p>
    <w:p>
      <w:r>
        <w:t>Sur le plan subjectif, l'art. 122 CP, qui réprime les lésions corporelles graves, définit une infraction de nature intentionnelle. Le dol éventuel suffit (TF 6B_388/2012 du 12 novembre 2012 consid. 2.2.1 ; Rémy, in : Macaluso/Moreillon/Quéloz [éd.], Commentaire romand, Code pénal II, 2017 [ci-après : CR CP II], nn. 14 s. ad art. 122 CP). L'intention de l'auteur doit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(art. 123 CP) et graves par négligence (art. 125 al. 2 CP) en concours idéal parfait (ATF 134 IV 26 précité consid. 4 ; TF 6B_922/2018 du 9 janvier 2020 consid. 4.2 ; Rémy, in : CR CP II, op. cit., n. 15 ad art. 122 CP ; Stratenwerth/Jenny/Bommer, Schweizerisches Strafrecht, Besonderer Teil I : Straftaten gegen Individualinteressen, 7 e éd. 2010, n. 34 p. 75).</w:t>
      </w:r>
    </w:p>
    <w:p>
      <w:r>
        <w:rPr>
          <w:b/>
        </w:rPr>
        <w:t>E. 3.2.4</w:t>
      </w:r>
    </w:p>
    <w:p>
      <w:r>
        <w:t>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peuvent cependant être ordonnées (al. 3). Si l'auteur pouvait éviter l'irresponsabilité ou la responsabilité restreinte et prévoir l'acte qu'il a commis en cet état, les al. 1 à 3 ne sont pas applicables (al. 4). Il ne suffit pas de n’importe quel oubli des convenances ou de tout abrutissement passager, provoqué par une consommation excessive d’alcool ou d’autres substances altérant la conscience et la volonté, pour admettre une diminution de la responsabilité. L’examen du comportement de l’auteur avant, pendant et après la commission de l’acte est indispensable. En effet, l’état psychopathologique (l’ivresse) est décisif et non la cause de cet état, à savoir la quantité d’alcool consommé qu’indique le taux d’alcoolémie dans le sang (TF 6B_1050/2020 du 20 mai 2021 consid. 3.3 ; Dupuis et al. [édit.], Petit commentaire, Code pénal, 2 e éd., Bâle 2017, n. 17 ad art. 19 CP). Selon la jurisprudence, une concentration d'alcool de 2 à 3 g ‰ entraîne une présomption de diminution de responsabilité, alors qu'une concentration supérieure à 3 g ‰ pose la présomption d’une irresponsabilité totale. Il ne s'agit là toutefois que de présomptions qui peuvent être renversées dans un cas donné en raison d'indices contraires (ATF 122 IV 49 consid. 1b ; TF 6B_1363/2019 du 19 novembre 2020 consid. 1.7.2 ; TF 6B_616/2015 du 5 avril 2016 consid. 2.3 ; Dupuis et al. [édit.], op. cit., n. 17 ad art. 19 CP) . La présomption de diminution de la responsabilité peut être renversée par des contre-indices dans des cas particuliers, même en cas de taux d'alcoolémie élevé (ATF 122 IV 49 consid. 1b ; TF 6B_1050/2020 précité consid. 3.2 ; TF 6B_676/2016 du 16 février 2017 consid. 3.3 ; TF 6B_55/2013 du 11 avril 2013 consid. 2.3.2 s.).</w:t>
      </w:r>
    </w:p>
    <w:p>
      <w:r>
        <w:rPr>
          <w:b/>
        </w:rPr>
        <w:t>E. 3.3.1</w:t>
      </w:r>
    </w:p>
    <w:p>
      <w:r>
        <w:t>En l’espèce, c’est à bon droit que le premier juge n’a pas retenu que le prévenu aurait été en état d’irresponsabilité au moment de la commission de l’infraction. En effet, la jurisprudence ne consacre qu’une présomption d’irresponsabilité avec un taux d’alcoolémie supérieure à 3 g ‰. Or, quand bien même l’appelant avait un taux d’alcoolémie légèrement supérieur à ce taux au moment des faits, il existe dans son comportement avant, au moment des faits et après ceux-ci des éléments qui renversent cette présomption. S’agissant de la période antérieure aux faits, il faut prendre en considération l’accoutumance du prévenu à l’alcool telle que démontrée par le passé, lui-même ayant reconnu des problèmes de consommation excessive (jugement p. 7) ; il a également admis lors de l’audience d’appel qu’il devrait absolument arrêter sa consommation d’alcool et se reprendre en mains. Il faut aussi constater l’aptitude du prévenu à se battre lors des faits en cause et ensuite, sa capacité à échapper à la police, dans un premier temps. Tous ces éléments, qui ont été pris en compte par le premier juge, sont pertinents pour écarter une éventuelle irresponsabilité et considérer que la responsabilité n’était en définitive réduite que de façon légère, les antécédents montrant par ailleurs que le prévenu sait très bien qu’il devient agressif en consommant de l’alcool.</w:t>
      </w:r>
    </w:p>
    <w:p>
      <w:r>
        <w:rPr>
          <w:b/>
        </w:rPr>
        <w:t>E. 3.3.2</w:t>
      </w:r>
    </w:p>
    <w:p>
      <w:r>
        <w:t>L’appelant prétend ensuite que son intention de blesser gravement le plaignant ne serait pas établie. Or, le premier juge a écarté à juste titre les versions successives du prévenu, qui sont dépourvues de toute crédibilité (cf. jugement pp. 13 et 14, qui renvoie aux déclarations du prévenu, en particulier PV aud. 3 R. 7 ; PV aud. 5 ll. 36- 112 et PV aud. 7 ll. 37-107). Il a retenu les déclarations convaincantes et mesurées du plaignant, qui consacrent les faits figurant dans l’acte d’accusation. Contrairement à ce que paraît soutenir le prévenu dans sa déclaration d’appel (en p. 9), ce ne sont pas seulement ses gesticulations avec le couteau face au plaignant qui démontrent son intention de le blesser, mais également les faits postérieurs, lorsque les deux hommes étaient à terre et que le plaignant tentait d’éviter les coups de couteau du prévenu, défense qui lui a occasionné une coupure au majeur de la main droite. Le fait de vouloir donner à plusieurs reprises des coups de couteau dans le torse de son antagoniste atteste bien d’une volonté de causer des lésions corporelles qui peuvent mettre en danger la vie de la victime. L’intention de blesser gravement est donc établie à satisfaction de droit.</w:t>
      </w:r>
    </w:p>
    <w:p>
      <w:r>
        <w:rPr>
          <w:b/>
        </w:rPr>
        <w:t>E. 3.3.3</w:t>
      </w:r>
    </w:p>
    <w:p>
      <w:r>
        <w:t>L’appelant affirme encore qu’en s’écartant de la version du plaignant sur la manière dont il aurait gesticulé avec le couteau avant l’empoignade, le premier juge aurait dû retenir sa version, selon laquelle il aurait gardé le couteau et le bras le long du corps. L’appelant perd toutefois de vue, comme indiqué précédemment, que c’est surtout son comportement lors de l’empoignade, durant laquelle il a tenté de donner des coups de couteau au plaignant, qui atteste de son intention de blesser grièvement ce dernier. En définitive, on ne discerne ni constatation incomplète ou erronée des faits ni violation de la présomption d’innocence. La condamnation de l’appelant pour tentative de lésions corporelles graves doit ainsi être confirmée.</w:t>
      </w:r>
    </w:p>
    <w:p>
      <w:r>
        <w:rPr>
          <w:b/>
        </w:rPr>
        <w:t>E. 4</w:t>
      </w:r>
    </w:p>
    <w:p>
      <w:r>
        <w:t>La peine, qui n’est pas contestée en tant que telle, est adéquate. La peine privative de liberté se justifie en effet pour des motifs de prévention spéciale, compte tenu des antécédents du prévenu. Pour le reste, il peut être renvoyé aux considérants du jugement attaqué en pp. 18 et 19 (art. 82 al. 4 CPP). La détention subie depuis le jugement de première instance sera déduite, étant précisé que l’appelant a déjà exécuté la totalité de sa peine.</w:t>
      </w:r>
    </w:p>
    <w:p>
      <w:r>
        <w:rPr>
          <w:b/>
        </w:rPr>
        <w:t>E. 5.1</w:t>
      </w:r>
    </w:p>
    <w:p>
      <w:r>
        <w:t>L’appelant invoque enfin un abus du pouvoir d’appréciation du premier juge « en lien avec l’expulsion ». Il fait valoir qu’il a passé toute sa vie d’adulte en Suisse, qu’il y a travaillé durablement, qu’il a deux enfants dans ce pays et qu’il n’a aucune attache avec l’Angola. Ses intérêts privés l’emporteraient ainsi sur l’intérêt public à l’expulser.</w:t>
      </w:r>
    </w:p>
    <w:p>
      <w:r>
        <w:rPr>
          <w:b/>
        </w:rPr>
        <w:t>E. 5.2.1</w:t>
      </w:r>
    </w:p>
    <w:p>
      <w:r>
        <w:t>Selon l'art. 66a al. 1 let. b CP, le juge expulse de Suisse, pour une durée de cinq à quinze ans, l'étranger qui est condamné, notamment, pour lésions corporelles graves (art. 122 CP).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 Le juge doit fixer la durée de l’expulsion dans la fourchette prévue de cinq à quinze ans, en tenant compte notamment du principe de la proportionnalité.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5.2.2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w:t>
      </w:r>
    </w:p>
    <w:p>
      <w:r>
        <w:rPr>
          <w:b/>
        </w:rPr>
        <w:t>E. 5.3</w:t>
      </w:r>
    </w:p>
    <w:p>
      <w:r>
        <w:t>L’appelant passe totalement sous silence les nombreuses mises en garde du Service de la population ayant suivi ses précédentes condamnations pénales et du fait qu’il n’en a aucunement tenu compte, commettant des infractions de plus en plus graves. Son casier judiciaire est en effet chargé, avec cinq condamnations antérieures dont trois ces deux dernières années, notamment pour des actes de violence et de troubles à l’ordre public. L’appelant a ainsi trop souvent été averti à réitérées reprises par le Service de la population et des migrants, déjà lors de l’octroi de son autorisation de séjour en 2012, puis en 2013 et enfin le 6 novembre 2020. Par ailleurs, contrairement à ce qu’il prétend, son insertion professionnelle n’est pas bonne. Au moment de son arrestation, il était au chômage depuis 5 mois. Il pourra travailler dans son pays d’origine, en usant de son diplôme et de son expérience d’électricien. Selon un extrait des poursuites de 2019, l’appelant a fait l’objet de plusieurs poursuites, essentiellement pour des créances d’assurance maladie et d’émoluments d’institutions publiques. Ses liens avec ses enfants, qu’il ne voit que très irrégulièrement (jugement, pp. 7 et 8), ne suffisent pas à renverser le constat selon lequel l’intérêt à l’expulser l’emporte, au moment de prononcer sa sixième condamnation, qui plus est pour une infraction de violence. Ainsi, même à supposer un cas de rigueur réalisé, l’intérêt public à l’expulsion prévaut en raison des actes de violences commis en état de récidive. L’expulsion pour une durée de 5 ans, durée qui tient compte adéquatement de la présence de ses deux enfants en Suisse, doit ainsi être confirmée. 6. Il y a lieu d’ordonner l’inscription de l’expulsion de M.________ au registre du Système d’Information Schengen (SIS), compte tenu du fait que le prénommé représente une menace pour la sécurité et l’ordre publics (ATF 146 IV 172 consid. 3.2.2, JdT 2020 IV 312). 7. Au vu de ce qui précède, l’appel doit être rejeté et le jugement entrepris confirmé. Le défenseur d’office de M.________, Me Dimitri Gaulis, a produit une liste d’opérations faisant état de 21 heures d’activité d’avocat (P. 60). Cette durée doit être réduite. En premier lieu, la rédaction de l’appel a été alléguée à hauteur de 10 heures au total (deux fois 300 minutes, incluant l’analyse du jugement, des recherches juridiques, la constitution d’un bordereau et les lettres de transmission), ce qui est excessif. Le temps qui peut raisonnablement être admis à ce titre est de 5 heures au total, compte tenu de la connaissance préalable du dossier par le défenseur d’office et des moyens qui avaient déjà été développés en première instance et qui ont été repris dans le mémoire d’appel. Il y a donc lieu de retrancher 5 heures à cet effet. Par ailleurs, l’audience d’appel a été estimée 2 heures, alors qu’elle a en réalité duré moins d’une heure. En définitive, il y a lieu de tenir compte d’un total de 15 heures d’activité d’avocat.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2'700 fr. à titre d’honoraires. A cela s’ajoutent un forfait pour les débours de 2 % (cf. art. 26b TFIP qui renvoie à l'art. 3 bis RAJ), par 54 fr., une vacation par 120 fr., ainsi que la TVA sur le tout, au taux de 7,7 %, par 221 fr. 30. Partant, une indemnité d’un montant total de 3'095 fr. 30 sera allouée à Me Dimitri Gaulis. Vu l’issue de la cause, les frais de deuxième instance, constitués en l’espèce de l’émolument de jugement et d’audience, par 2’380 fr. (18 pages et moins d’une heure d’audience ; cf. art. 21 al. 1 et 2 TFIP), ainsi que de l’indemnité allouée au défenseur d’office de l’intimé, par 3'095 fr. 30, soit au total par 5'475 fr. 30, doivent être mis à la charge de l’appelant, qui succombe (art. 428 al. 1 CPP). Le remboursement à l'Etat de l’indemnité d'office ne sera exigible de M.________ que pour autant que sa situation économique le permette (art. 135 al. 4 CPP).</w:t>
      </w:r>
    </w:p>
    <w:p>
      <w:r>
        <w:rPr>
          <w:b/>
        </w:rPr>
        <w:t>E. 8</w:t>
      </w:r>
    </w:p>
    <w:p>
      <w:r>
        <w:t>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6B_379/2021 du 30 juin 2021 consid. 1.2 ; TF 6B_153/2020 du 28 avril 2020 consid. 1.3.2). Un séjour légal de dix années suppose en principe une bonne intégration de l’étranger (ATF 144 I 266 consid. 3.9). Par ailleurs, un étranger peut se prévaloir de l’art. 8 § 1 CEDH (et de l’art.</w:t>
      </w:r>
    </w:p>
    <w:p>
      <w:r>
        <w:rPr>
          <w:b/>
        </w:rPr>
        <w:t>E. 13</w:t>
      </w:r>
    </w:p>
    <w:p>
      <w:r>
        <w:t>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 art. 3 de la Convention du 10 décembre 1984 contre la torture et autres peines ou traitements cruels, inhumains ou dégradants [RS 0.105]), alors même que ces garanties sont encore expressément réservées par l'art. 66d al. 1 CP (ATF 147 IV 453 consid. 1.4.5 ; TF 6B_747/2019 du 24 juin 2020 consid. 2.1.2 ; cf. Busslinger/Uebersax, Härtefallklausel und migrationsrechtliche Auswirkungen der Landesverweisung, Plädoyer 5/16 p.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