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236 vom 11. Februar 2022</w:t>
      </w:r>
    </w:p>
    <w:p>
      <w:r>
        <w:t>VD Tribunal cantonal, 2022-02-11, FR</w:t>
      </w:r>
    </w:p>
    <w:p>
      <w:r>
        <w:rPr>
          <w:b/>
        </w:rPr>
        <w:t xml:space="preserve">Quelle: </w:t>
      </w:r>
      <w:r>
        <w:t>https://mcp.opencaselaw.ch/entscheid/vd_findinfo_Jug___2022___236</w:t>
      </w:r>
    </w:p>
    <w:p>
      <w:r>
        <w:t>FR: VD_FINDINFO Jug / 2022 / 236 du 11 février 2022</w:t>
      </w:r>
    </w:p>
    <w:p>
      <w:r>
        <w:t>IT: VD_FINDINFO Jug / 2022 / 236 del 11 febbraio 2022</w:t>
      </w:r>
    </w:p>
    <w:p>
      <w:pPr>
        <w:pStyle w:val="Heading2"/>
      </w:pPr>
      <w:r>
        <w:t>Regeste</w:t>
      </w:r>
    </w:p>
    <w:p>
      <w:r>
        <w:t>MINISTÈRE PUBLIC, ADMISSION DE LA DEMANDE, DÉCISION NON FORMELLE | 398 al. 4 CPP (CH)</w:t>
      </w:r>
    </w:p>
    <w:p>
      <w:pPr>
        <w:pStyle w:val="Heading2"/>
      </w:pPr>
      <w:r>
        <w:t>Erwägungen</w:t>
      </w:r>
    </w:p>
    <w:p>
      <w:r>
        <w:rPr>
          <w:b/>
        </w:rPr>
        <w:t>E. 6</w:t>
      </w:r>
    </w:p>
    <w:p>
      <w:r>
        <w:t>En conclusion, l'appel du Ministère public doit être admis, le jugement attaqué annulé et le dossier de la cause renvoyé au Tribunal de police de l'arrondissement de la Broye et du Nord vaudois pour nouveau jugement. Vu l’issue de la cause, les frais d’appel, constitués en l’espèce du seul émolument de jugement, par 900 fr. (art. 21 al. 1 TFIP [Tarif des frais de procédure et indemnités en matière pénale du 28 septembre 2010 ; BLV 312.03.1]), seront mis à la charge de X.________, qui succombe dès lors qu’elle a conclu au rejet de l’appel (art. 428 al. 1, 1 re phrase, CPP). Aucune indemnité au sens de l’art. 429 CPP ne sera allouée à X.________ pour ses frais de défense dans le cadre de la procédure d’appel, dans la mesure où elle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