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233 vom 14. Oktober 2021</w:t>
      </w:r>
    </w:p>
    <w:p>
      <w:r>
        <w:t>VD Tribunal cantonal, 2021-10-14, FR</w:t>
      </w:r>
    </w:p>
    <w:p>
      <w:r>
        <w:rPr>
          <w:b/>
        </w:rPr>
        <w:t xml:space="preserve">Quelle: </w:t>
      </w:r>
      <w:r>
        <w:t>https://mcp.opencaselaw.ch/entscheid/vd_findinfo_Jug___2022___233</w:t>
      </w:r>
    </w:p>
    <w:p>
      <w:r>
        <w:t>FR: VD_FINDINFO Jug / 2022 / 233 du 14 octobre 2021</w:t>
      </w:r>
    </w:p>
    <w:p>
      <w:r>
        <w:t>IT: VD_FINDINFO Jug / 2022 / 233 del 14 ottobre 2021</w:t>
      </w:r>
    </w:p>
    <w:p>
      <w:pPr>
        <w:pStyle w:val="Heading2"/>
      </w:pPr>
      <w:r>
        <w:t>Regeste</w:t>
      </w:r>
    </w:p>
    <w:p>
      <w:r>
        <w:t>CONSTATATION DES FAITS, IN DUBIO PRO REO, CHANTAGE, FIXATION DE LA PEINE, CONCOURS D'INFRACTIONS, RÉVOCATION DU SURSIS, SURSIS À L'EXÉCUTION DE LA PEINE, ALLOCATION AU LÉSÉ | 156 CP, 42 al. 1 CP, 46 al. 1 CP, 47 CP, 49 al. 1 CP, 66a al. 1 let. c CP, 73 CP, 10 CPP (CH)</w:t>
      </w:r>
    </w:p>
    <w:p>
      <w:pPr>
        <w:pStyle w:val="Heading2"/>
      </w:pPr>
      <w:r>
        <w:t>Erwägungen</w:t>
      </w:r>
    </w:p>
    <w:p>
      <w:r>
        <w:rPr>
          <w:b/>
        </w:rPr>
        <w:t>E. 1</w:t>
      </w:r>
    </w:p>
    <w:p>
      <w:r>
        <w:t>Interjetés dans les formes et délais légaux (art. 399 CPP) par des parties qui ont la qualité pour recourir contre le jugement d'un tribunal de première instance ayant clos la procédure (art. 398 al. 1 CPP), les appels de G.________ et de J.________ sont recevables.</w:t>
      </w:r>
    </w:p>
    <w:p>
      <w:r>
        <w:rPr>
          <w:b/>
        </w:rPr>
        <w:t>E. 1.2</w:t>
      </w:r>
    </w:p>
    <w:p>
      <w:r>
        <w:t>; TF 6B_952/2019 du 11 décembre 2019 consid. 2.1). Appel de G.________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et les arrêts cités).</w:t>
      </w:r>
    </w:p>
    <w:p>
      <w:r>
        <w:rPr>
          <w:b/>
        </w:rPr>
        <w:t>E. 3.1</w:t>
      </w:r>
    </w:p>
    <w:p>
      <w:r>
        <w:t>Aux débats d’appel, G.________ a contesté l’appréciation du Tribunal correctionnel selon laquelle elle n’avait pas été enceinte. Elle soutient que tel aurait bien été le cas et que les premiers juges n’auraient pas tenu compte d’indices qui tendaient à le démontrer, à savoir que les parties avaient eu des relations sexuelles non protégées, qu’un test de grossesse avait été retrouvé dans ses affaires, qu’elle avait une photographie d’une échographie dans son téléphone portable et qu’elle avait invité le plaignant à se rendre avec elle chez le gynécologue. Elle serait en outre partie en octobre 2020 pour procéder un avortement tardif, comme l’indiquerait le document établi par un gynécologue établi à Fribourg (cf. P. 64/2). L’appelante conteste ensuite avoir exercé une forme de contrainte sur l’appelant. Admettant, par la voix de son défenseur, qu’elle serait une femme « dure en affaires » et « aimant l’argent », elle soutient cependant que le plaignant lui aurait versé librement de l’argent pour qu’elle avorte et qu’il s’agirait d’un « contrat » dûment négocié. Ce serait par ailleurs lui qui lui aurait proposé de l’argent et à aucun moment, elle ne l’aurait menacé de dévoiler sa grossesse.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l’occurrence, le Tribunal correctionnel a retenu que la prévenue n’avait jamais été enceinte du plaignant en 2020 et qu’elle n’avait jamais interrompu une telle grossesse. Il a constaté en premier lieu qu’elle n’avait jamais consulté de médecin en Suisse en relation avec cette prétendue grossesse, alors même qu’elle était âgée de 45 ans au moment des faits et qu’elle se déclarait enceinte de jumeaux, ce qui constituait une grossesse à risque. L’explication selon laquelle elle n’aurait pas consulté de médecin car elle voulait garder cette grossesse secrète en raison de l’avortement envisagé tombait à faux puisque la prévenue n’avait cessé de clamer qu’elle ne souhaitait pas avorter et que ce n’était qu’en raison de la pression que le plaignant mettait sur elle qu’elle aurait fini par céder. Ensuite, la prévenue avait écrit le 30 octobre 2020 au plaignant qu’elle pouvait lui envoyer une photographie de l’échographie qu’elle avait prise la veille et le prévenu avait bien reçu une photographie d’échographie de la prévenue, selon lui, le 30 octobre 2020. Lors de l’instruction, la prévenue avait cependant déclaré qu’elle avait envoyé cette photographie au plaignant par erreur et qu’il s’agissait d’une photographie de l’échographie de sa belle-fille qu’elle voulait envoyer à ses amies. La prévenue avait encore déclaré qu’elle s’était rendue au [...], le 29 octobre 2020, pour avorter et que l’intervention avait eu lieu deux ou trois jours après son arrivée. Il ressortait des messages extraits de son téléphone portable qu’entre le 1 er octobre et le 30 novembre 2020, elle n’avait jamais déclaré se trouver au [...]. Au contraire, elle avait écrit, le 31 octobre 2020, à [...] qu’elle se rendrait bientôt au [...], et à un dénommé [...] qu’elle se trouvait à [...]. Aux débats, la prévenue avait produit un extrait de son passeport duquel il ressortait qu’elle avait voyagé à l’étranger entre le 11 et le 12 octobre 2020, dates qui ne correspondaient pas à ses déclarations selon lesquelles elle s’était rendue au [...] entre le 29 et le 30 octobre 2020, ni aux échanges de messages de fin octobre 2020 avec le plaignant, dans lesquels elle indiquait qu’elle se rendrait prochainement à l’étranger pour l’avortement. Les premiers juges ont encore relevé que le 26 juillet 2020, la prévenue avait annoncé à [...] qu’elle avait ses règles. Enfin, elle avait attendu le jour de l’audience de jugement pour produire une déclaration de son gynécologue, datée du 20 août 2021, selon laquelle elle avait subi un avortement au [...] au-delà de la 12 e semaine de grossesse. Le tribunal a considéré que cette pièce n’avait aucune valeur probante puisqu’il s’agissait uniquement d’un historique médical et que la référence à un avortement qui y figurait ne pouvait résulter que des propres déclarations de la prévenue, à défaut de quoi les autres éléments matériels qui auraient servi à l’établissement de cette déclaration auraient assurément été produits par la prévenue afin de prouver cet avortement, soit par exemple des documents relatifs à l’intervention au [...] ou le compte rendu d’un examen qui aurait été réalisé en Suisse après cet avortement. Les premiers juges ont ensuite constaté que la prévenue avait adressé au plaignant, entre le 3 juin et le 10 juillet 2020, pas moins de six messages qui ne lui étaient supposément pas destinés mais qui étaient adressés à « sœurette », « Patricia », « Heidi » et « Ma chère ». Questionnée à ce sujet en cours d’instruction, elle avait invoqué une fausse manipulation. Or, il paraissait invraisemblable qu’elle ait pu se tromper de destinataire à six reprises en l’espace d’un peu plus d’un mois. En outre, à la fin du mois d’août et au début du mois de septembre, la prévenue avait adressé plusieurs messages au plaignant prétendant qu’elle était hospitalisée à Fribourg afin d’avorter, que l’intervention avait échoué et qu’elle avait failli y laisser sa peau. Le 16 septembre 2020, elle lui écrivait encore pour lui parler de ce qu’elle était censée avoir subi à Fribourg. Lors de l’instruction, elle avait admis qu’il s’agissait de purs mensonges et, pour seule explication, avait indiqué qu’elle avait agi de la sorte car le plaignant la pressait. Le 8 septembre 2020, la prévenue avait écrit un message au plaignant dans lequel elle lui avait indiqué qu’il ne lui restait plus d’autre solution que d’aller avorter en Espagne. Par message du 26 octobre 2020, elle lui avait parlé d’un voyage qu’elle devait faire entre le 29 et le 30 octobre 2020 pour aller avorter, le 27 octobre 2020 d’un vol qu’elle devait confirmer d’ici au lendemain, le 28 octobre 2020 d’un billet d’avion à prendre le lendemain et d’un hôtel « là-bas » pour la sortie de l’hôpital. Le 29 octobre 2020, elle avait écrit au plaignant qu’elle allait dormir à Genève pour être tôt à l’aéroport le lendemain. Le Tribunal a considéré que compte tenu du fait que la prévenue n’avait jamais été enceinte et ne s’était jamais rendue, ni en Espagne, ni au [...], pour se faire avorter, tous ces messages n’étaient que purs mensonges. Le Tribunal correctionnel a relevé que le 29 octobre 2020, la prévenue avait écrit au plaignant qu’un avortement ne se faisait pas à crédit et qu’elle acceptait de recevoir 60. Elle s’offusquait alors que le plaignant doute du fait qu’elle ait vraiment l’intention de se faire avorter. Puis, elle avait écrit que, puisque le plaignant n’était pas d’accord de lui verser 80, elle ne se ferait pas avorter. Les nombres 60 et 80 figurant dans ces messages devaient être compris comme 60'000 et 80'000 et correspondaient à une part du solde de 120'000 fr. que le plaignant s’était encore engagé à verser à la prévenue. Ces messages démontraient clairement que la prévenue exigeait le paiement d’une somme d’argent contre son avortement. Les premiers juges ont ensuite constaté que le 14 novembre 2020, alors qu’elle était censée avoir avorté, la prévenue écrivait encore au plaignant pour lui dire qu’elle allait devoir déménager avec l’arrivée des bébés. Dans un autre message de la fin du mois de novembre 2020, elle avait indiqué au plaignant qu’elle avait encore fait une échographie et parlait de se rendre en Espagne. Dans le message vocal numéroté 20201112, soit datant vraisemblablement du 12 novembre 2020, elle avait parlé du fait qu’elle sortait de chez le médecin, dit qu’elle voulait savoir quand elle devait partir en Espagne et qu’en attendant, elle était obligée de consulter des médecins en Suisse car c’était la loi. Les premiers juges ont retenu ainsi que la prévenue avait continué à prétendre qu’elle était enceinte et à laisser entrevoir la possibilité d’un avortement, encore après la date de son supposé avortement. Ils ont également considéré que le contenu de son dernier message vocal était en totale contradiction avec les déclarations de la prévenue selon lesquelles elle n’avait pas consulté de médecin en Suisse. Sur la base de l’ensemble de ces éléments, le Tribunal correctionnel a retenu que durant la période au cours de laquelle elle avait obtenu du plaignant le versement de 234'800 fr., alors même qu’ils étaient séparés, la prévenue n’avait pas cessé de lui mentir et avait élaboré toute une mise en scène afin de lui faire croire qu’elle lui adressait par erreur des messages destinés à des tiers dans lesquels elle faisait part de ses états d’âme liés à sa prétendue grossesse, qu’elle était hospitalisée à Fribourg en vue d’un avortement qui aurait failli lui coûter la vie, qu’elle avait l’intention de se rendre en Espagne pour avorter, que son départ pour ce pays était imminent puis qu’elle y renonçait finalement, qu’elle envisageait de déménager en vue de la naissance prochaine de ses enfants et qu’elle était suivie par un médecin en Suisse en raison de sa grossesse. La seule explication que la prévenue avait été en mesure de fournir au sujet de ces mensonges avait consisté à clamer que le prévenu faisait pression sur elle pour qu’elle avorte. Or, il ne ressortait aucunement des messages que contenait le dossier que le plaignant avait exercé une quelconque pression sur la prévenue. Au contraire, c’était la prévenue qui, par un édifice de mensonges et se servant de la crainte qu’éprouvait le plaignant à l’idée qu’elle puisse être enceinte de lui, avait exercé une pression sur celui-ci afin qu’il lui remette un montant total de 234'800 francs. Complète et convaincante, l’appréciation du Tribunal correctionnel ne prête nullement le flanc à la critique. Le fait, comme s’en prévaut l’appelante, que les parties aient eu des relations sexuelles non protégées, qu’un test de grossesse ait été retrouvé dans les affaires de la prévenue, qu’elle avait une photographie dans son téléphone portable et qu’elle ait invité le plaignant à se rendre avec elle chez le gynécologue ne sont nullement déterminants au regard de l’ensemble des éléments relevés plus haut qui démontrent le peu de crédit qu’il convient d’accorder à ses déclarations. Les faits tels que retenus par les premiers juges doivent être confirmés.</w:t>
      </w:r>
    </w:p>
    <w:p>
      <w:r>
        <w:rPr>
          <w:b/>
        </w:rPr>
        <w:t>E. 4.1</w:t>
      </w:r>
    </w:p>
    <w:p>
      <w:r>
        <w:t>Aux débats d’appel, invoquant la jurisprudence relative à l’art. 156 ch. 1 CP (Code pénal suisse du 21 décembre 1937 ; RS 311.0), l’appelante a reproché aux premiers juges de ne pas avoir tenu compte de l’attitude du plaignant, qui serait critiquable, dans la mesure où il n’aurait pas été « raisonnable », qu’il aurait fait preuve d’une grande naïveté en ne prenant aucune précaution et en ne procédant à aucune vérification. Un tel comportement ne mériterait, selon elle, aucune protection pénale.</w:t>
      </w:r>
    </w:p>
    <w:p>
      <w:r>
        <w:rPr>
          <w:b/>
        </w:rPr>
        <w:t>E. 4.2.1</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La peine est plus lourde si l'auteur fait métier de l'extorsion ou s'il a poursuivi à réitérées reprises ses agissements contre la victime (al. 2).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La menace est un moyen de pression psychologique. L'auteur doit faire craindre à la victime un inconvénient, dont l'arrivée paraît dépendre de sa volonté (ATF 122 IV 322 consid. 1a ad art. 181 CP). Il importe peu qu'en réalité l'auteur ne puisse pas influencer la survenance de l'événement préjudiciable (ATF 106 IV 125 consid. 1a ad art. 181 CP) ou qu'il n'ait pas l'intention de mettre sa menace à exécution (ATF 122 IV 322 consid. 1a ad art. 181 CP).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(TF 6B_275/2016 du 9 décembre 2016 et les références citées). L’art. 156 CP protège également les personnes crédules (Mazou, in : Macaluso/Moreillon/Queloz [éd.], Commentaire romand, Code pénal II, Bâle 2017, n. 10 ad art. 156 CP ; Weissenberger, in : Niggli/Wiprächtiger [éd.], Basler Kommentar, Strafrecht II, 4 e éd., Bâle 2018, n. 19 ad art. 156 CP).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w:t>
      </w:r>
    </w:p>
    <w:p>
      <w:r>
        <w:rPr>
          <w:b/>
        </w:rPr>
        <w:t>E. 4.2.2</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 ATF 122 II 422 consid. 3a ; ATF 122 IV 246 consid. 3a).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Du point de vue subjectif, l'auteur doit avoir agi intentionnellement et dans un dessein d'enrichissement illégitime (ATF 119 IV 210 consid. 4b).</w:t>
      </w:r>
    </w:p>
    <w:p>
      <w:r>
        <w:rPr>
          <w:b/>
        </w:rPr>
        <w:t>E. 4.2.3</w:t>
      </w:r>
    </w:p>
    <w:p>
      <w:r>
        <w:t>L'extorsion prime l'escroquerie lorsque l'auteur recourt à une tromperie astucieuse qui n'a pour but que d'étayer les menaces qu'il formule à l'encontre de la victime. La relation entre les deux dispositions est en revanche délicate si l'auteur recourt à la tromperie et à la contrainte de façon indépendante. Un concours est théoriquement concevable, mais la solution retenue par la doctrine majoritaire consiste à envisager une application alternative de l'une ou l'autre disposition. Il s'agit alors de déterminer quel élément de la tromperie ou de la contrainte s'avère prépondérant, étant précisé que la contrainte, respectivement l'extorsion, devrait généralement prendre le pas sur la tromperie et l'escroquerie (Dupuis et al. [éd.], Petit commentaire, Code pénal, 2 e éd., Bâle 2017, n. 31 ad art. 156 CP).</w:t>
      </w:r>
    </w:p>
    <w:p>
      <w:r>
        <w:rPr>
          <w:b/>
        </w:rPr>
        <w:t>E. 4.3</w:t>
      </w:r>
    </w:p>
    <w:p>
      <w:r>
        <w:t>En l’occurrence, le Tribunal correctionnel a constaté que la prévenue avait menacé le plaignant d’un dommage sérieux en ce sens qu’avoir des jumeaux avec sa maîtresse, alors qu’il était marié, risquait d’avoir de graves conséquences à la fois sur sa vie de couple et sur son patrimoine. Par ailleurs, elle avait agi astucieusement en se prétendant enceinte et en accumulant les mensonges afin de lui faire croire qu’elle allait avorter en échange de son argent, tout en repoussant sans cesse l’échéance de l’intervention dans le but de faire monter les enchères. Il en découlait que les éléments constitutifs tant de l’infraction d’extorsion et chantage, que de celle d’escroquerie étaient réalisés. Les premiers juges ont été d’avis que la contrainte primait la tromperie, dès lors que l’élément qui avait poussé le plaignant à procéder aux divers versements en question était la contrainte résultant de la crainte qu’il avait pour son avenir. Les mensonges et la tromperie réalisés par la prévenue n’étaient que le moyen d’exercer cette contrainte. Cette appréciation ne prête pas le flanc à la critique et doit être confirmée. La prévenue a certes recouru à un édifice de mensonges pour tromper le plaignant. Elle l’a toutefois fait afin d’avoir un moyen de lui faire craindre des conséquences graves pour sa situation financière et la pérennité de son couple. Contrairement à ce que soutient l’appelante, aucune faute ne saurait être reprochée au plaignant qui a cru en ses mensonges. Selon la doctrine précitée, l’art. 156 CP protège au demeurant également les personnes crédules. Quant aux circonstances aggravantes de l’art. 156 ch. 2 CP qui ont été retenues par les premiers juges, elles doivent également être confirmées, compte tenu des sommes considérables qui ont été soutirées à réitérées reprises à un seul lésé et qui ont assuré à la prévenue, par ailleurs vaguement active dans le commerce pour de faibles revenus selon elle, un train de vie luxueux.</w:t>
      </w:r>
    </w:p>
    <w:p>
      <w:r>
        <w:rPr>
          <w:b/>
        </w:rPr>
        <w:t>E. 5</w:t>
      </w:r>
    </w:p>
    <w:p>
      <w:r>
        <w:t>L’appelante n’a soulevé aucun moyen en lien avec l’infraction de blanchiment d'argent, si ce n’est le fait de contester qu’elle a obtenu illicitement de l’argent de la part du plaignant. Or, comme retenu au considérant 4.3 ci-dessus, tel a bien été le cas. Par ailleurs, elle a admis avoir transféré 6'920 fr. à l’étranger et avoir dépensé 39'768 fr. en marchandises. Pour le surplus, elle n’a donné aucune d’explication convaincante quant à l’emploi du solde de 137'112 fr., celui-ci demeurant introuvable. La condamnation de l’appelante pour blanchiment d'argent doit par conséquent également être confirmée.</w:t>
      </w:r>
    </w:p>
    <w:p>
      <w:r>
        <w:rPr>
          <w:b/>
        </w:rPr>
        <w:t>E. 6</w:t>
      </w:r>
    </w:p>
    <w:p>
      <w:r>
        <w:t>La condamnation de l’appelante pour extorsion et chantage qualifiés et blanchiment d’argent étant confirmée, les contestations expressément liées à l'acquittement auquel elle a conclu (confiscation des objets de valeur, affectation de l'argent séquestré à la couverture des frais de justice, maintien au dossier de divers documents comme pièces à conviction, créance compensatrice, conclusions civiles, frais et indemnités) deviennent sans objet.</w:t>
      </w:r>
    </w:p>
    <w:p>
      <w:r>
        <w:rPr>
          <w:b/>
        </w:rPr>
        <w:t>E. 7.1</w:t>
      </w:r>
    </w:p>
    <w:p>
      <w:r>
        <w:t>L’appelante conteste la quotité de la peine qui lui a été infligée ainsi que son caractère ferme. Aux débats d’appel, elle a soutenu que la gravité de sa faute devrait être relativisée au vu du comportement du plaignant qui n’aurait pas été « raisonnable ».</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 TF 6B_631/2021 du 7 février 2022 consid. 1.1). Le juge dispose d'un large pouvoir d'appréciation dans la fixation de la peine. Le Tribunal fédéral n'intervient que lorsque l'autorité cantonale a fixé une peine en dehors du cadre légal, si elle s'est fondée sur des critères étrangers à l'art. 47 CP,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144 IV 313 consid. 1.2 et les arrêts cités ; TF 6B_631/2021 du 7 février 2022 consid. 1.4). Plus la peine est élevée, plus la motivation doit être complète (ATF 127 IV 101 consid. 2c).</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7.2.3</w:t>
      </w:r>
    </w:p>
    <w:p>
      <w:r>
        <w:t>L'art. 42 al. 1 CP prévoit que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6B_401/2021 du 20 décembre 2021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6B_401/2021 précité consid. 2.1). Dans l'émission du pronostic, le juge dispose d'un large pouvoir d'appréciation, de sorte que le Tribunal fédéral n'intervient qu'en cas d'abus ou d'excès de ce pouvoir (ATF 145 IV 137 consid. 2.2 ; ATF 144 IV 277 consid. 3.1.1). Le défaut de prise de conscience de la faute peut justifier un pronostic défavorable, car seul celui qui se repent de son acte mérite la confiance que l'on doit pouvoir accorder au condamné bénéficiant du sursis (TF 6B_401/2021 précité consid. 2.1 et les arrêts citées). Les antécédents pertinents doivent être pris en compte de manière significative dans l'établissement du pronostic ; ils n'excluent toutefois pas nécessairement le sursis (TF 6B_401/2021 précité consid.</w:t>
      </w:r>
    </w:p>
    <w:p>
      <w:r>
        <w:rPr>
          <w:b/>
        </w:rPr>
        <w:t>E. 7.3</w:t>
      </w:r>
    </w:p>
    <w:p>
      <w:r>
        <w:t>Le Tribunal correctionnel a retenu que la culpabilité de la prévenue était très lourde. La somme qu’elle avait extorquée à sa victime se montait à 234'800 fr. et elle avait encore tenté d’obtenir 120'000 fr. supplémentaires. L’édifice de mensonges qu’elle avait mis en place était considérable. Elle s’en était prise à un homme qu’elle connaissait depuis de nombreuses années et qui avait confiance en elle. Elle avait continué à laisser entrevoir la possibilité d’un avortement au mois de novembre, alors que sa prétendue grossesse durait depuis plus de 5 mois, confinant à l’absurde, dans le but d’obtenir encore 70'000 fr. supplémentaires de sa victime. Elle avait éhontément menti tout au long de la procédure, frisant souvent le ridicule, et s’était positionnée en victime. Enfermée dans ses mensonges, elle n’avait exprimé aucun regret ni démontré un quelconque repentir. Aucun élément ne pouvait être retenu à décharge. La Cour d’appel pénale fait sienne cette appréciation à laquelle il convient d’ajouter comme éléments à charge l'appât du gain comme seule motivation, trois précédentes condamnations – la première, en 2015, pour des infractions à la loi sur la circulation routière et les deux suivantes, en 2018, pour escroquerie à des jours-amende avec sursis –, et enfin le concours d’infractions. Enfin, contrairement à ce que la prévenue affirme, le comportement de la victime qu’elle a extorquée n’est pas un élément qui réduirait la gravité de sa culpabilité. Pour sanctionner l’infraction la plus grave, soit celle d’extorsion et chantage qualifiés, une peine privative de liberté de 2 ans doit être prononcée, comme retenu en première instance. Celle-ci doit être augmentée de 6 mois pour réprimer l’infraction de blanchiment d’argent, de sorte que la peine privative de liberté de 30 mois infligée par les premiers juges est adéquate et doit être confirmée. Vu la durée des faits reprochés à la prévenue, ses antécédents, son absence totale de remise en question, cette peine ne peut qu'être ferme. Le pronostic d'avenir est en effet résolument sombre et ce n'est pas la révocation du sursis accordé le 5 juin 2018 (cf. consid. 8.2 ci-dessous) portant sur une peine pécuniaire qui aura un effet de choc suffisant pour le renverser.</w:t>
      </w:r>
    </w:p>
    <w:p>
      <w:r>
        <w:rPr>
          <w:b/>
        </w:rPr>
        <w:t>E. 8</w:t>
      </w:r>
    </w:p>
    <w:p>
      <w:r>
        <w:t>L’appelante conteste également la révocation du sursis qui lui a été accordé le 5 juin 2018.</w:t>
      </w:r>
    </w:p>
    <w:p>
      <w:r>
        <w:rPr>
          <w:b/>
        </w:rPr>
        <w:t>E. 8.1</w:t>
      </w:r>
    </w:p>
    <w:p>
      <w:r>
        <w:t>Aux termes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w:t>
      </w:r>
    </w:p>
    <w:p>
      <w:r>
        <w:rPr>
          <w:b/>
        </w:rPr>
        <w:t>E. 8.2</w:t>
      </w:r>
    </w:p>
    <w:p>
      <w:r>
        <w:t>L’appelante a récidivé pendant le délai d'épreuve du sursis assortissant la peine pécuniaire de 75 jours-amende à 30 fr. prononcée contre elle le 5 juin 2018. Elle est aujourd’hui condamnée une troisième fois pour des infractions contre le patrimoine. Celles-ci sont en outre de plus en plus sérieuses. Pour ces motifs, qui s’ajoutent à ceux retenus au considérant 7.3 ci-dessus, une révocation du sursis s’impose.</w:t>
      </w:r>
    </w:p>
    <w:p>
      <w:r>
        <w:rPr>
          <w:b/>
        </w:rPr>
        <w:t>E. 9</w:t>
      </w:r>
    </w:p>
    <w:p>
      <w:r>
        <w:t>L’appelante conteste son expulsion, se prévalant aux débats d’appel de la présence de ses enfants en Suisse.</w:t>
      </w:r>
    </w:p>
    <w:p>
      <w:r>
        <w:rPr>
          <w:b/>
        </w:rPr>
        <w:t>E. 9.1</w:t>
      </w:r>
    </w:p>
    <w:p>
      <w:r>
        <w:t>Selon l'art. 66a al. 1 let. c CP, le juge expulse de Suisse l'étranger qui est condamné notamment pour extorsion et chantage qualifiés (art. 156 ch. 2 à 4), pour une durée de cinq à quinze ans. L'art. 66a CP prévoit l'expulsion « obligatoire » de l'étranger condamné pour l'une des infractions ou combinaison d'infractions listées à l'alinéa 1,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ATF 146 IV 105 consid. 3.4.2 ; ATF 144 IV 332 consid. 3.3.1). Elle doit être appliquée de manière restrictive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6B_1421/2019 du 12 février 2020 consid. 1.3 ; TF 6B_1024/2019 du 29 janvier 2020 consid. 1.3.2 ; TF 6B_1299/2019 du 28 janvier 2020 consid. 3.3).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(TF 6B_286/2020 du 1 er juillet 2020 consid. 1.3.2 ; cf. ATF 144 II 1 consid. 6.1 ; ATF 135 1143 consid. 1.3.2, RDAF 2010 I 344).</w:t>
      </w:r>
    </w:p>
    <w:p>
      <w:r>
        <w:rPr>
          <w:b/>
        </w:rPr>
        <w:t>E. 9.2</w:t>
      </w:r>
    </w:p>
    <w:p>
      <w:r>
        <w:t>En l’espèce, l'expulsion de l’appelante est en principe obligatoire, seul le cas de rigueur étant envisageable. Ressortissante [...], la prévenue s'est installée en 1995 en Suisse lorsqu'elle avait 20 ans. Elle est divorcée et a trois enfants qui vivent en Suisse mais qui sont désormais majeurs. Elle ne peut donc pas se prévaloir d'une atteinte à sa vie privée. Pour le surplus, elle travaille un peu dans le négoce d’habits de seconde main, sans que cette activité lui procure un revenu significatif. Cette activité peut par ailleurs s’exercer sans difficultés dans un autre pays. En outre, la situation financière de la prévenue, qui habite chez l’un de ses fils, est largement obérée. Au [...], la prévenue, qui affirme provenir d’une famille aisée, a des frères et sœurs et possède des terrains dont elle a hérité. On ne peut donc pas considérer que son expulsion la mettrait dans une situation personnelle grave, étant ajouté que les premiers juges n'ont pas ordonné l'inscription de cette mesure dans le Système d’information Schengen (SIS), de sorte qu'elle pourrait s'installer ailleurs en Europe. Enfin, vu les crimes qu'elle commet, l'intérêt à son expulsion est important et doit l'emporter sur son intérêt à demeurer en Suisse. Son expulsion doit pas conséquent être confirmée. Quant à la durée de 6 ans, proche du minimum légal, elle n'est pas excessive.</w:t>
      </w:r>
    </w:p>
    <w:p>
      <w:r>
        <w:rPr>
          <w:b/>
        </w:rPr>
        <w:t>E. 10</w:t>
      </w:r>
    </w:p>
    <w:p>
      <w:r>
        <w:t>En définitive, l'appel de G.________ doit être rejeté. Appel de J.________</w:t>
      </w:r>
    </w:p>
    <w:p>
      <w:r>
        <w:rPr>
          <w:b/>
        </w:rPr>
        <w:t>E. 11.1</w:t>
      </w:r>
    </w:p>
    <w:p>
      <w:r>
        <w:t>Invoquant l'art. 73 al. 1 let. c CP, le plaignant fait valoir qu'il a cédé l'entier de sa créance à l'Etat alors que la créance compensatrice qui lui a été allouée a été fixée après déduction de la valeur des objets séquestrés. Cette valeur aurait dû lui être allouée également. L’appelant soutient avoir demandé l'allocation du produit de la vente de ces objets en première instance, mais que cela ne ressortirait pas du procès-verbal de l'audience. Il relève avoir demandé en vain au Président du Tribunal correctionnel de rectifier d’office le dispositif de son jugement sur ce point (cf. P. 67 et 68). Cela étant, indépendamment de savoir s’il n’a pas été suffisamment clair ou s’il a omis de le requérir formellement en première instance, le plaignant considère que sa requête peut être formulée également en procédure d’appel.</w:t>
      </w:r>
    </w:p>
    <w:p>
      <w:r>
        <w:rPr>
          <w:b/>
        </w:rPr>
        <w:t>E. 11.2</w:t>
      </w:r>
    </w:p>
    <w:p>
      <w:r>
        <w:t>Aux termes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valeurs patrimoniales confisqués ou le produit de leur réalisation, sous déduction des frais.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Par ailleurs, le juge ne peut pas ordonner l'allocation d'office, mais uniquement sur requête du lésé (Dupuis et al. [éd.], Petit commentaire, Code pénal, 2 e éd., Bâle 2017, nn. 4-5 ad art. 73 CP ; cf. Schmid, Kommentar, Einziehung, Organisiertes Verbrechen, Geldwäscherei, Band I, 2 e éd., Zurich 2007, n. 60 ad art. 73 CP ; Bommer, Offensive Verletztenrechte im Strafprozess, Bern 2006, pp. 120 ss ; Kasser, L'allocation au lésé (art. 60 CP) et son application dans le canton de Vaud in : L'avocat et le juge face au droit pénal, Mélanges offerts à Eric Stoudmann, Genève/Zurich/Bâle 2005, p. 91 ; Hirsig-Vouilloz, Commentaire romand, Code pénal I, Art. 1-110 CP, Bâle 2009, n. 22 ad art. 73 CP). Comme condition impérative, la cession doit avoir lieu au plus tard jusqu'à ce que le tribunal en question statue sur la question de l'octroi de l'allocation au sens de l'art. 73 CP. Cela signifie que le lésé doit formuler sa déclaration de cession inconditionnelle avant le prononcé de la décision (TF 6B_190/2010 du 16 juillet 2010 consid 2.1 et les références citées ; Dupuis et al., op cit., n. 7 ad art. 73 CP ; cf. Schmid, op. cit., ad art. 73 CP n° 63).</w:t>
      </w:r>
    </w:p>
    <w:p>
      <w:r>
        <w:rPr>
          <w:b/>
        </w:rPr>
        <w:t>E. 11.3</w:t>
      </w:r>
    </w:p>
    <w:p>
      <w:r>
        <w:t>En l’espèce, la prévenue a extorqué 234'800 fr. au plaignant. Le montant de 51'000 fr. a été retrouvé et a été immédiatement restitué à celui-ci. Restait donc un dommage de 183'800 fr., pour lequel le plaignant a pris des conclusions civiles qui lui ont été allouées. Le plaignant a déclaré céder sa créance à l'Etat et les premiers juges ont prononcé une créance compensatrice à concurrence du montant qui n’était plus « disponible », à savoir 167'470 fr., soit 234'800 fr. moins le montant de 51'000 fr. retrouvé moins la somme de 16'330 fr. qui était la valeur estimative des objets de valeur séquestrés. Il serait logique que le produit de réalisation de ces objets soit, après déduction des frais, alloué au plaignant, seul lésé. La seule question qui se pose est celle de savoir si celui-ci l'a demandé en première instance ou, à défaut, s'il peut le faire en deuxième instance. Le Président du Tribunal correctionnel a estimé qu'il n'y avait pas eu de demande formelle (P. 68). Le conseil du plaignant avait demandé l’allocation d’une créance compensatrice fixée à 183'800 francs. Il affirme avoir modifié oralement ses conclusions et demandé « l'allocation de l'entier de la créance compensatrice, respectivement de la créance compensatrice réduite du montant des objets confisqués pour autant que le produit de réalisation lui soit alloué » (P. 67). Le procès-verbal de l’audience du 11 octobre 2021 mentionne que le conseil du plaignant s'est référé à ses conclusions civiles « tout en évoquant la possibilité de déduire un montant de 16'330 fr. de la créance compensatrice ». Ce n'est pas très clair mais cette déduction n'avait de sens que pour autant que la différence soit allouée sous une autre forme au plaignant. En application du principe de la bonne foi, sa déclaration doit être comprise dans ce sens. Quoi qu’il en soit, il est admis que la demande peut être formulée même en procédure d'appel (Favre/Pellet/Stoud-mann, Code pénal annoté, éd. bis et ter, Lausanne 2011, n. 1.3 ad art. 73 CP), ce qui règle la question. L'appel de J.________ doit par conséquent être admis, le produit de la réalisation des montres, sacs et bijoux inventoriés sous fiche n° 51185/20 devant lui être alloué après déduction des frais. Conclusion, frais et indemnités</w:t>
      </w:r>
    </w:p>
    <w:p>
      <w:r>
        <w:rPr>
          <w:b/>
        </w:rPr>
        <w:t>E. 12</w:t>
      </w:r>
    </w:p>
    <w:p>
      <w:r>
        <w:t>En définitive, l'appel de G.________ doit être rejeté et celui de J.________ admis, le jugement attaqué devant être réformé dans le sens du considérant qui précède. La liste des opérations produite par Me Laurence Brand Corsani, défenseur d’office de G.________, fait état de 17 heures d’activité d’avocat, ce qui apparaît excessif. Outre la durée d’audience qui n’a été que de 1 heure (au lieu de 2 heures prévues), il y a lieu de ramener à 30 minutes le temps consacré le 3 mars 2022 à une visioconférence avec la prévenue (au lieu de 90 minutes en sus d’une première visioconférence de 80 minutes et de téléphones totalisant 40 minutes). L’étude du dossier le 8 mars 2022 sera ramené à 3 heures (au lieu de 4) et le temps prévu pour les opérations après le présent jugement à 1 heure (au lieu de 90 minutes). Enfin, le temps compté pour la prise de connaissance du jugement de première instance (60 minutes), en sus de celui pour la rédaction d’une déclaration d’appel non motivée (90 minutes), qui l’inclut forcément déjà, ne sera pas pris en compte. En définitive, une durée de 10 h 30 apparaît suffisante pour assurer la défense de la prévenue en deuxième instance. Ainsi, une indemnité de défenseur d'office d'un montant de 2'205 fr. 50, correspondant à une activité d’avocat de 10 h 30 au tarif horaire de 180 fr., par 1’890 fr., à des débours forfaitaires, par 37 fr. 20, à une vacation à 120 fr., et à la TVA au taux de 7,7 %, par 157 fr. 70, sera allouée à Me Laurence Brand Corsani. J.________, qui a procédé avec l’assistance d’un conseil de choix et obtenu gain de cause, a droit à une indemnité pour les dépenses obligatoires occasionnées par la procédure d’appel. Il n’y a pas lieu de s’écarter de la note d’honoraires produite par son avocat, si ce n’est pour réduire à 1 heure la durée de l’audience prévue (2 h 30) et prendre en compte un tarif horaire de 300 fr. au lieu de 380 francs. N’étant pas particulièrement complexe ni en fait ni en droit, la cause ne justifie en effet pas un tarif plus élevé. Une indemnité de 2'888 fr. 10 sera ainsi allouée au plaignant (2’433 fr. [8,11 heures x 300 fr.] + 48 fr. 65 [débours] + 200 fr. [déplacement] + 206 fr. 50 [TVA]) pour les dépenses obligatoires occasionnées par la procédure d’appel, à la charge de la prévenue.</w:t>
      </w:r>
    </w:p>
    <w:p>
      <w:r>
        <w:rPr>
          <w:b/>
        </w:rPr>
        <w:t>E. 13</w:t>
      </w:r>
    </w:p>
    <w:p>
      <w:r>
        <w:t>Vu l’issue de la cause, les frais de la procédure d’appel, par 5'685 fr. 50, constitués en l’espèce de l’émolument de jugement, par 3’480 fr. (art. 21 al. 1 et 2 TFIP), ainsi que de l’indemnité allouée au défenseur d’office de G.________, par 2'205 fr. 50, seront mis à la charge de cette dernière, qui succombe (art. 428 al. 1 CPP). G.________ sera tenue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