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195 vom 3. Dezember 2021</w:t>
      </w:r>
    </w:p>
    <w:p>
      <w:r>
        <w:t>VD Tribunal cantonal, 2021-12-03, FR</w:t>
      </w:r>
    </w:p>
    <w:p>
      <w:r>
        <w:rPr>
          <w:b/>
        </w:rPr>
        <w:t xml:space="preserve">Quelle: </w:t>
      </w:r>
      <w:r>
        <w:t>https://mcp.opencaselaw.ch/entscheid/vd_findinfo_Jug___2022___195</w:t>
      </w:r>
    </w:p>
    <w:p>
      <w:r>
        <w:t>FR: VD_FINDINFO Jug / 2022 / 195 du 3 décembre 2021</w:t>
      </w:r>
    </w:p>
    <w:p>
      <w:r>
        <w:t>IT: VD_FINDINFO Jug / 2022 / 195 del 3 dicembre 2021</w:t>
      </w:r>
    </w:p>
    <w:p>
      <w:pPr>
        <w:pStyle w:val="Heading2"/>
      </w:pPr>
      <w:r>
        <w:t>Regeste</w:t>
      </w:r>
    </w:p>
    <w:p>
      <w:r>
        <w:t>CONSTATATION DES FAITS, APPRÉCIATION DES PREUVES, MEURTRE, TENTATIVE{DROIT PÉNAL}, FIXATION DE LA PEINE, MESURE THÉRAPEUTIQUE INSTITUTIONNELLE | 19 al. 2 CP, 22 ad 111 CP, 47 CP, 60 al. 1 CP, 10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A.N.________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L’appelant a requis sa confrontation avec C.________ et J.________, qui le mettent en cause. Ces deux personnes ont toutefois déjà été entendues contradictoirement durant l’instruction, soit en présence de l’ancien défenseur du prévenu, de sorte qu’il n’est pas nécessaire de les réentendre à ce stade. On ne voit du reste pas ce qu’une confrontation directe avec le prévenu apporterait, si ce n’est une tentative d’intimidation. Les conditions de l’art. 389 CPP ne sont ainsi pas réunies et l’appelant n’a du reste pas réitéré ses réquisitions en audience.</w:t>
      </w:r>
    </w:p>
    <w:p>
      <w:r>
        <w:rPr>
          <w:b/>
        </w:rPr>
        <w:t>E. 3.2</w:t>
      </w:r>
    </w:p>
    <w:p>
      <w:r>
        <w:t>et les références citées), sous réserve des cas particuliers où une expertise de la crédibilité des déclarations de la victime s’impose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6B_219/2020 précité consid. 2.1 ; TF 6B_332/2020 précité consid. 3.2).</w:t>
      </w:r>
    </w:p>
    <w:p>
      <w:r>
        <w:rPr>
          <w:b/>
        </w:rPr>
        <w:t>E. 4</w:t>
      </w:r>
    </w:p>
    <w:p>
      <w:r>
        <w:t>L’appelant conteste sa condamnation pour tentative de meurtre. Il invoque une constatation inexacte des faits, une violation de la présomption d’innocence et une motivation insuffisante au sujet de son absence de crédibilité. Il soutient notamment que ses déclarations contradictoires ne font pas de lui un coupable, que le fait que J.________ ait retiré sa plainte prouverait qu’il a menti et qu’aucun élément ne permettrait d’établir de façon suffisante qu’il aurait pu commettre l’agression qui lui est reprochée. A cet égard, il expose notamment que son téléphone n’a pas borné sur les lieux de l’agression, que son QI et sa consommation d’alcool ne lui auraient pas permis d’organiser une telle agression, ni d’avoir eu la présence d’esprit d’éteindre son téléphone afin qu’il ne borne pas, et qu’il serait chronologiquement et matériellement impossible qu’il se soit trouvé au domicile de J.________ lors des faits.</w:t>
      </w:r>
    </w:p>
    <w:p>
      <w:r>
        <w:rPr>
          <w:b/>
        </w:rPr>
        <w:t>E. 4.1.1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 Les déclarations de la victime constituent un élément de preuve. Le juge doit, dans l’évaluation globale de l’ensemble des éléments probatoires rassemblés au dossier, les apprécier librement (TF 6B_219/2020 du 4 août 2020 consid. 2.1 ; TF 6B_332/2020 du 9 juin 2020 consid.</w:t>
      </w:r>
    </w:p>
    <w:p>
      <w:r>
        <w:rPr>
          <w:b/>
        </w:rPr>
        <w:t>E. 4.1.2</w:t>
      </w:r>
    </w:p>
    <w:p>
      <w:r>
        <w:t>Aux termes de l'art. 111 CP (Code pénal suisse ; 311.0), se rend coupable de meurtre celui qui aura intentionnellement tué une personne. Il y a tentative (art. 22 al. 1 CP) lorsque l'auteur a réalisé tous les éléments subjectifs de l'infraction et manifesté sa décision de la commettre, alors que les éléments objectifs font, en tout ou en partie, défaut (ATF 140 IV 150 consid. 3.4, JdT 2015 IV 114).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 (ATF 122 IV 246 consid. 3a ; ATF 120 IV 17 consid. 2c ; TF 6B_924/2017 du 14 mars 2018 consid. 1.1.3).</w:t>
      </w:r>
    </w:p>
    <w:p>
      <w:r>
        <w:rPr>
          <w:b/>
        </w:rPr>
        <w:t>E. 4.2.1</w:t>
      </w:r>
    </w:p>
    <w:p>
      <w:r>
        <w:t>En l’espèce, les premiers juges ont retenu que le prévenu, qui contestait être impliqué dans l’agression de J.________, avait admis avoir été contrarié par le fait qu'C.________ soit hébergée par celui-ci, qu’il n’avait pas nié avoir envoyé plusieurs dizaines de messages menaçants et injurieux à ce dernier et avoir cherché par tous les moyens à connaître son adresse pour aller récupérer C.________. Il avait également admis s'être rendu à une reprise chez J.________ et avait justifié ses actes par son alcoolisation. Le tribunal a retenu que les déclarations de J.________ étaient crédibles, contrairement à celles du prévenu. En premier lieu, les déclarations de la victime étaient corroborées par les lésions constatées par le CURML dans son rapport du 24 août 2020 et deux témoins avaient attesté de l'état émotionnel de J.________ à la suite de l’agression. Le contexte dans lequel avait eu lieu l'agression confirmait également la crédibilité des déclarations de ce dernier, dès lors que le prévenu et C.________ étaient en instance de séparation, que celle-ci était partie vivre chez J.________, et qu’il était établi que A.N.________ ne supportait pas cette situation. Il avait notamment à tout prix essayé de connaître l’adresse de sa future victime et lui avait adressée des messages menaçants. Il avait même parlé de mettre des cagoules et de frapper J.________ comme il ne l’avait jamais été. Quant à lui, J.________ n’avait pas été vindicatif, ayant même retiré sa plainte, et avait été constant, ce qui renforçait sa crédibilité. L’enquête n’avait pas pu établir la présence de A.N.________ à Lausanne au moment des faits, contrairement à ce qu’il prétendait. Il était en revanche établi qu’il n'était ni avec [...], ni avec [...], comme il l'avait indiqué. Enfin, il n'avait pas répondu à un appel de son père à 21h48 sur sa ligne fixe, ce qui laissait penser qu'il n'était pas à son domicile. En fixant une corde au cou de J.________, puis en l'attachant à une voiture, avant de s'installer à bord, A.N.________ avait adopté un comportement propre à provoquer la mort de sa victime, ce qu’il ne pouvait ignorer, se rendant ainsi coupable de tentative de meurtre, l’issue fatale n’ayant été évitée que parce que la victime était parvenue à se libérer d’elle-même.</w:t>
      </w:r>
    </w:p>
    <w:p>
      <w:r>
        <w:rPr>
          <w:b/>
        </w:rPr>
        <w:t>E. 4.2.2</w:t>
      </w:r>
    </w:p>
    <w:p>
      <w:r>
        <w:t>Ces considérations sont convaincantes et l’appréciation des preuves effectuée par les premiers juges doit être confirmée. Le prévenu n’est en effet pas crédible dans ses dénégations, en raison des multiples contradictions émaillant ses déclarations, des nombreuses menaces qu’il a adressées antérieurement à la victime, et des motifs qu’il avait de s’en prendre à elle, soit le contexte de sa séparation d’avec C.________, l’installation de cette dernière au domicile de J.________ et la jalousie obsessionnelle du prévenu, l’experte psychiatre ayant d’ailleurs souligné qu’il était impulsif et incapable de contenir sa frustration. A.N.________ a admis encore à l’audience d’appel avoir proféré des menaces de mort contre J.________, et ces menaces sont très clairement établies par l’analyse des données de son téléphone portable, notamment les 16 et 18 mai 2020. Il résulte notamment des messages que le prévenu adressait à ce dernier qu’il cherchait à tout prix à trouver l’adresse de J.________ afin de s’y rendre pour s’en prendre à lui physiquement, qu’une fois l’adresse trouvée il s’y est rendu une première fois en repérage en menaçant de revenir, et il a à une reprise évoqué l’usage de cagoules (cf. P. 177, pp. 21 ss). L’état de colère dans lequel se trouvait manifestement le prévenu lorsqu’il adressait des messages vocaux à C.________ et à J.________ est au demeurant évocateur de l’imminence d’un passage à l’acte (cf. P. 177, p. 25). Tout cela ne peut qu’être mis en lien avec l’agression telle qu’elle résulte du récit crédible et constant de la victime, qui n’a pas cherché à accabler le prévenu. Le retrait de plainte de J.________ peut être intervenu par peur de représailles – étant rappelé que deux des agresseurs n’ont pas pu être identifiés – et ne signifie en tous les cas pas qu’il a menti. Les déclarations de ce dernier sont en outre objectivement corroborées par les marques de strangulation sur son cou constatées par le CURML (cf. P. 91, p. 10) et par les témoignages de [...] et [...], qui ont constaté que l’intéressé était tétanisé et qu’il ne dormait plus ensuite de l’agression. La victime est ainsi tout à fait crédible lorsqu’elle déclare avoir entendu un des agresseurs cagoulés déclarer « c’est lui qui baise ma gonzesse », déclaration qui désigne incontestablement A.N.________. Rien ne permet ainsi de douter que ce dernier était bien un des auteurs de l’agression subie par J.________. A cet égard, il importe peu que les deux autres participants n’aient pas pu être identifiés ou que le prévenu n’ait pas pu être géolocalisé par son téléphone portable sur les lieux. Les faits ont ainsi été retenus valablement par les premiers juges et ceux-ci doivent être confirmés tels que relatés sous chiffre 1 de l’acte d’accusation.</w:t>
      </w:r>
    </w:p>
    <w:p>
      <w:r>
        <w:rPr>
          <w:b/>
        </w:rPr>
        <w:t>E. 4.3</w:t>
      </w:r>
    </w:p>
    <w:p>
      <w:r>
        <w:t>En l’espèce, A.N.________ a été diagnostiqué pour un syndrome de dépendance à l’alcool et à la cocaïne, actuellement abstinent en milieu protégé. La relation entre son addiction, en particulier à l’alcool, et les infractions commises ne font aucun doute. L’instauration d’un traitement institutionnel des addictions en faveur du prévenu a été préconisée par l’experte pour diminuer le risque de récidive important présenté par le prévenu. C’est à tort que ce dernier soutient en appel qu’une telle mesure serait disproportionnée et qu’un traitement ambulatoire serait suffisant. En effet, l’experte psychiatre a très clairement exposé le contraire. Elle a notamment indiqué que l’impact sur le risque de récidive serait plus efficient avec la mesure contestée qu’avec une simple injonction de soins ambulatoires, dès lors que de tels soins ne suffiraient pas à pallier les difficultés de A.N.________ à inscrire ce traitement dans la durée, qu’il y aurait de forts risques, au vu de son trouble de la personnalité, qu’il ne se rende rapidement plus à sa consultation et qu'il se remette à consommer de l'alcool de façon abusive. C’est ainsi à juste titre que les premiers juges ont ordonné un traitement institutionnel des addictions en faveur de A.N.________, traitement nécessaire et apte à atteindre son but, le prévenu ne contestant du reste désormais plus ladite mesure (cf. P. 280). 7. Au vu de ce qui précède, l’appel doit être rejeté et le jugement entrepris confirmé. La détention subie depuis le jugement de première instance sera déduite de la peine infligée conformément à l’art. 51 CP. Le maintien en détention en exécution anticipée de peine de l’appelant sera en outre ordonné pour garantir l’exécution de la peine prononcée, au vu du risque de récidive évoqué par l’expertise. Le défenseur d’office de A.N.________ a produit en audience une liste d’opérations dont il n’y a pas lieu de s’écarter, si ce n’est pour y ajouter le temps consacré à l’audience d’appel. C’est ainsi une indemnité de 3'208 fr. 05 qui sera allouée à Me Sébastien Pedroli pour la procédure d’appel, correspondant à 14,9 heures d’avocat au tarif horaire de 180 fr., à 53 fr.70 de débours au taux forfaitaire de 2%, à 240 fr. de vacation et à 229 fr. 35 de TVA. Vu l’issue de la cause, les frais de la procédure d’appel, par 6'138 fr. 05, constitués des émoluments de jugement et d’audience (art. 21 al. 1 et 2 TFIP), par 2’930 fr., ainsi que de l’indemnité d’office précitée, seront mis à la charge de A.N.________, qui succombe (art. 428 al. 1 CPP). A.N.________ ne sera tenue de rembourser à l’Etat l’indemnité allouée à son défenseur d’office que lorsque sa situation financière le permettra (art. 135 al. 4 let. a CPP).</w:t>
      </w:r>
    </w:p>
    <w:p>
      <w:r>
        <w:rPr>
          <w:b/>
        </w:rPr>
        <w:t>E. 5</w:t>
      </w:r>
    </w:p>
    <w:p>
      <w:r>
        <w:t>L’appelant conteste la peine privative de liberté de 4 ans qui lui a été infligée. Il estime, à titre subsidiaire, que celle-ci devrait être réduite de moitié pour tenir compte de la diminution de responsabilité évoquée par l’expertise psychiatrique.</w:t>
      </w:r>
    </w:p>
    <w:p>
      <w:r>
        <w:rPr>
          <w:b/>
        </w:rPr>
        <w:t>E. 5.1.1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 5 septembre 2018 consid. 3.1).</w:t>
      </w:r>
    </w:p>
    <w:p>
      <w:r>
        <w:rPr>
          <w:b/>
        </w:rPr>
        <w:t>E. 5.1.2</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 TF 6B.892/2020 du 16 février 2021 consid. 10.4.1 et les références citées).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 TF 6B_892/2020 précité consid. 10.4.1).</w:t>
      </w:r>
    </w:p>
    <w:p>
      <w:r>
        <w:rPr>
          <w:b/>
        </w:rPr>
        <w:t>E. 5.2</w:t>
      </w:r>
    </w:p>
    <w:p>
      <w:r>
        <w:t>En l’espèce, les premiers juges ont considéré que la culpabilité de A.N.________ était très lourde. Il s’en était pris à la vie de J.________, ses actes avaient été violents et barbares et il avait agi par jalousie. Dans ses tentatives de récupérer C.________, il avait démontré une obstination relevant du harcèlement. Son comportement obsessionnel démontrait qu’il avait lui-même organisé l'expédition punitive contre J.________. A charge, les premiers juges ont retenu les nombreux antécédents judiciaires de A.N.________, soit</w:t>
      </w:r>
    </w:p>
    <w:p>
      <w:r>
        <w:rPr>
          <w:b/>
        </w:rPr>
        <w:t>E. 8</w:t>
      </w:r>
    </w:p>
    <w:p>
      <w:r>
        <w:t>condamnations prononcées entre les 5 novembre 2013 et 9 avril 2020, ainsi que le fait qu’il s’en était pris violement et sauvagement à sa victime moins de deux mois après sa dernière condamnation, malgré une mise en garde du procureur. Il n’avait en outre fait preuve d’aucune empathie ni prise de conscience de la gravité de son comportement. A décharge, les premiers juges ont retenu le parcours difficile de A.N.________ et l'environnement carencé dans lequel il avait passé son enfance, ainsi qu’une très légère diminution de responsabilité. Ces considérations sont pertinentes et doivent être suivies, l’appelant ne remettant au demeurant pas en cause les éléments à charge et à décharge retenus. S’agissant de la diminution de responsabilité, l’experte a certes évoqué – de façon générale – une diminution de responsabilité moyenne à légère. Cela étant, en relation avec la tentative de meurtre, elle a précisé que l’appréciation de la responsabilité de A.N.________ devait tenir compte du rôle qu'il avait pris dans cette expédition punitive, soit que s’il avait eu organisé et convaincu deux autres personnes de l'accompagner, il avait alors fait preuve d'un pouvoir décisionnel ne relevant pas de l'impulsivité, ni de l'incompréhension de son environnement, et sa responsabilité devait alors tout au plus être considérée comme étant diminuée de manière très légère. Or, telle est manifestement le cas en l’espèce. En effet, il y a lieu d’admettre, avec les premiers juges, que le projet homicide est de son fait et qu’il a entrainé ses comparses pour des motifs futiles de jalousie et de vengeance. Compte tenu de la gravité objective des faits, la culpabilité de l’appelant passe de très lourde à lourde en tenant compte de la diminution de responsabilité. L’art. 111 CP prévoyant une peine privative de liberté minimale de 5 ans, la peine privative de liberté de 4 ans prononcée prend suffisamment en compte la réduction résultant du degré de réalisation de l’infraction et de la diminution de responsabilité. La peine privative de liberté de 4 ans infligée à A.N.________ est donc adéquate et doit être confirmée. Il en va de même de l’amende sanctionnant les contraventions commises, qui n’est du reste pas contestée. Quant à la révocation du sursis accordé le 31 octobre 2017, elle se justifie en application de l’art. 46 al. 1 CP, le pronostic étant absolument défavorable tant en raison des antécédents que des dénégations. 6. L’appelant conteste enfin le traitement institutionnel des addictions ordonné en sa faveur. Il expose qu’une telle mesure serait disproportionnée, dans la mesure où un traitement ambulatoire serait, selon lui, suffisant. 6.1 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L'art. 60 al. 1 CP prévoit que lorsque l'auteur est toxicodépendant ou qu'il souffre d'une autre addiction, le juge peut ordonner un traitement institutionnel lorsque l'auteur a commis un crime ou un délit en relation avec cette addiction (let. a) et qu'il est à prévoir que ce traitement le détournera d'autres infractions en relation avec cette addiction (let. b). Conformément à l’art. 60 al. 2 CP, le juge tient compte de la demande et de la motivation de l’auteur. Aux termes de l'art. 56 al. 3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 ATF 133 II 384 consid. 4.2.3). Selon le Tribunal fédéral, il n’y a pas lieu d’ordonner une mesure si le délinquant est incurable et que le traitement est dès lors voué à l’échec (ATF 140 IV 1 ; ATF 109 IV 73 consid. 3, JdT 1984 IV 69 ; Dupuis et al. [éd.], Petit commentaire, Code pénal, 2 e éd., Bâle 2017, n. 8 ad art. 60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