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191 vom 22. Oktober 2021</w:t>
      </w:r>
    </w:p>
    <w:p>
      <w:r>
        <w:t>VD Tribunal cantonal, 2021-10-22, FR</w:t>
      </w:r>
    </w:p>
    <w:p>
      <w:r>
        <w:rPr>
          <w:b/>
        </w:rPr>
        <w:t xml:space="preserve">Quelle: </w:t>
      </w:r>
      <w:r>
        <w:t>https://mcp.opencaselaw.ch/entscheid/vd_findinfo_Jug___2022___191</w:t>
      </w:r>
    </w:p>
    <w:p>
      <w:r>
        <w:t>FR: VD_FINDINFO Jug / 2022 / 191 du 22 octobre 2021</w:t>
      </w:r>
    </w:p>
    <w:p>
      <w:r>
        <w:t>IT: VD_FINDINFO Jug / 2022 / 191 del 22 ottobre 2021</w:t>
      </w:r>
    </w:p>
    <w:p>
      <w:pPr>
        <w:pStyle w:val="Heading2"/>
      </w:pPr>
      <w:r>
        <w:t>Regeste</w:t>
      </w:r>
    </w:p>
    <w:p>
      <w:r>
        <w:t>PROCÉDURE ÉCRITE, DOMMAGES À LA PROPRIÉTÉ{DROIT PÉNAL}, APPRÉCIATION DES PREUVES, CONSTATATION DES FAITS, PRÉSOMPTION D'INNOCENCE, DROIT D'ÊTRE ENTENDU, FIXATION DE LA PEINE | 144 al. 1 CP, 47 CP, 29 al. 2 Cst., 10 CPP (CH)</w:t>
      </w:r>
    </w:p>
    <w:p>
      <w:pPr>
        <w:pStyle w:val="Heading2"/>
      </w:pPr>
      <w:r>
        <w:t>Erwägungen</w:t>
      </w:r>
    </w:p>
    <w:p>
      <w:r>
        <w:rPr>
          <w:b/>
        </w:rPr>
        <w:t>E. 1.1</w:t>
      </w:r>
    </w:p>
    <w:p>
      <w:r>
        <w:t>Interjeté dans les formes et délais légaux (art. 399 CPP) par une partie qui a la qualité pour recourir contre le jugement d'un tribunal de première instance ayant clos la procédure (art. 398 al. 1 CPP), l'appel d’O.________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let. a et b CPP).</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2.3</w:t>
      </w:r>
    </w:p>
    <w:p>
      <w:r>
        <w:t>L’appelant renouvelle, dans son mémoire d’appel, les mesures d’instruction déjà requises en vain devant le Ministère public, puis en partie devant le Tribunal de police de l’arrondissement de La Côte, tendant à l’audition de sa compagne N.________ et à la production de toutes les factures des travaux exécutés sur le/les véhicule/s de la partie plaignante entre 2018 et 2021, ainsi que du dossier complet d’assurance véhicule de celle-ci pour les années 2018 à 2021, se référant aux explications fournies devant ces autorités. Il fait en substance valoir que sa compagne pourrait apporter des précisions sur la manière dont G.________ garait sa voiture, sur les déprédations intervenues sur son propre véhicule, et confirmer qu’il était attentif aux voitures des autres et qu’il avait tenté de prouver sa bonne foi auprès de la plaignante, sans succès. Il soutient par ailleurs que les factures et le dossier d’assurance dont la production est requise permettraient le cas échéant de démontrer que la plaignante serait « rompue aux problèmes de carrosserie ». Une appréciation anticipée de ces preuves conduit toutefois à en rejeter l’administration, celle-ci étant inutile pour le traitement de l’appel. En effet, comme l’a retenu à juste titre le premier juge, la force probante de la déposition de la compagne de l’appelant serait particulièrement faible au vu de la loyauté affective de celle-ci à son égard et son témoignage ne serait de toute façon pas pertinent, dès lors qu’elle n’est pas un témoin direct des faits litigieux. Quant aux déprédations intervenues sur le véhicule de l’appelant, elles ne sont pas l’objet de la procédure et donc inutiles au traitement de l’appel, tout comme le fait qu’il aurait tenté de prouver sa bonne foi auprès de la plaignante. S’agissant de la production de toute facture de travaux exécutés sur le/s véhicule/s de la plaignante et de son dossier d’assurance complet pour la période de 2018 à 2021 – réquisition qui n’a, contrairement à ce que soutient l’appelant, pas été présentée devant le tribunal de première instance –, elle n'est de toute manière pas nécessaire pour permettre à la Cour de forger sa conviction au regard des autres preuves figurant au dossier. Partant, les conditions de l’art. 389 al. 3 CPP n’étant pas réalisées, les mesures d’instruction requises doivent être rejetées.</w:t>
      </w:r>
    </w:p>
    <w:p>
      <w:r>
        <w:rPr>
          <w:b/>
        </w:rPr>
        <w:t>E. 3.1</w:t>
      </w:r>
    </w:p>
    <w:p>
      <w:r>
        <w:t>Invoquant une violation de son droit d’être entendu, l’appelant fait grief au premier juge de ne pas avoir donné suite aux réquisitions susmentionnées. Il soutient que l’audition de N.________ aurait permis d’éclaircir certains éléments et aurait ainsi été tout à fait pertinente pour la cause, tout comme la production des factures de travaux et du dossier complet d’assurance véhicule de la plaignante.</w:t>
      </w:r>
    </w:p>
    <w:p>
      <w:r>
        <w:rPr>
          <w:b/>
        </w:rPr>
        <w:t>E. 3.2</w:t>
      </w:r>
    </w:p>
    <w:p>
      <w:r>
        <w:t>Tel que garanti par l'art. 29 al. 2 Cst., le droit d'être entendu comprend notamment, pour le justiciable, le droit de prendre connaissance du dossier, de s'exprimer sur les éléments pertinents avant qu'une décision touchant sa situation juridique soit prise, d'obtenir l'administration des preuves pertinentes et valablement offertes, de participer à l'administration des preuves essentielles et de se déterminer sur son résultat lorsque cela est de nature à influer sur la décision à rendre (ATF 144 I 11 consid. 5.3 ; ATF 143 V 71 consid. 4.1 ; ATF 142 II 218 consid. 2.3 ; TF 6B_1048/2021 du 10 février 2022 consid. 2.1 ; TF 6B_528/2019 du 17 juillet 2019 consid. 2.1).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134 I 140 consid. 5.3, JdT 2009 I 303).</w:t>
      </w:r>
    </w:p>
    <w:p>
      <w:r>
        <w:rPr>
          <w:b/>
        </w:rPr>
        <w:t>E. 3.3</w:t>
      </w:r>
    </w:p>
    <w:p>
      <w:r>
        <w:t>Comme on l’a vu (cf. consid. 2.3 supra ), c’est à juste titre que le premier juge a considéré que le témoignage de N.________ n’était pas pertinent pour juger des faits de la cause, dès lors qu’elle n’était pas un témoin direct des faits et que la force probante de sa déposition serait quoi qu’il en soit toute relative compte tenu du fait qu’elle était la compagne de l’appelant, constat que la punissabilité du faux témoignage au sens de l’art. 307 CP (Code pénal suisse du 21 décembre 1937 ; RS 311.0) ne permet pas de contredire. Par ailleurs, contrairement à ce qu’il soutient, l’appelant n’a pas renouvelé devant le Tribunal de police sa requête tendant à la production de toutes les factures des travaux exécutés sur le/les véhicule/s de la partie plaignante entre 2018 et 2021, ainsi que du dossier complet d’assurance véhicule de celle-ci pour les années 2018 à 2021, de sorte qu’il ne saurait reprocher au premier juge de ne pas y avoir donné suite. Infondé, ce grief doit donc être rejeté.</w:t>
      </w:r>
    </w:p>
    <w:p>
      <w:r>
        <w:rPr>
          <w:b/>
        </w:rPr>
        <w:t>E. 4.1</w:t>
      </w:r>
    </w:p>
    <w:p>
      <w:r>
        <w:t>Invoquant une constatation inexacte des faits et une violation de la présomption d’innocence, l’appelant conteste sa condamnation pour dommages à la propriété. Il fait valoir qu’aucun élément au dossier ne permettrait de retenir qu’il aurait causé les dégâts qui lui sont reprochés et souligne en particulier que les photographies et vidéos produites par la plaignante dateraient d’avant les faits, qu’aucun constat n’aurait été effectué par un expert et qu’aucun autre élément ne corroborerait une compatibilité entre les marques observées sur les deux véhicules. Il reproche en outre au premier juge d’avoir fait abstraction de ses contestations constantes et du fait qu’il aurait lui-même déposé plainte contre G.________ pour des déprédations sur son véhicule.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4.3</w:t>
      </w:r>
    </w:p>
    <w:p>
      <w:r>
        <w:t>Le premier juge s’est fondé sur plusieurs éléments probatoires pour assoir sa conviction selon laquelle l’appelant était bien l’auteur des dégâts constatés par la plaignante sur son véhicule. Il a d’abord relevé que la version de la plaignante, constante et cohérente, était corroborée par des photographies montrant le véhicule de l’appelant empiétant sur la place de celle-ci, de manière qu’il fût objectivement impossible pour ce dernier d’entrer dans sa voiture sans heurter celle de la plaignante avec sa portière. La plaignante avait en outre produit des photographies montrant que son véhicule ne présentait pas de marques au moment où elle s’était garée, mais qu’une trace y était visible lorsqu’elle l’avait récupéré le lendemain, trace qui pouvait tout à fait correspondre à un dégât causé par le véhicule de l’appelant, compte tenu de leur position respective, côte à côte sur deux places de parc voisines. Enfin, la plaignante était parvenue à démontrer, par la production de plusieurs photographies des deux véhicules, que les impacts sur sa portière correspondaient à des coups de portière ayant laissé des traces sur le véhicule de l’appelant également, alors que celui-ci s’était garé à plusieurs reprises en empiétant sur sa place. Selon le Tribunal de police, ces éléments convergents démontraient que l’appelant était bien l’auteur des dégâts qui lui étaient reprochés. Cette appréciation des preuves, complète et convaincante, doit être confirmée. Il résulte en effet de l’ensemble des déclarations crédibles et constantes de la plaignante, corroborées par des indices photographiques et vidéographiques, datant tant d’avant que d’après les faits, que l’appelant est bien l’auteur des dégâts qui lui sont reprochés et que ses dénégations – bien qu’elles aussi constantes – doivent être écartées, étant relevé qu’il n’a fourni aucune explication valable sur sa manière de se garer ou sur une autre origine des dommages. Le fait que son propre véhicule ait préalablement également subi des dégâts dans des circonstances inconnues n’y change rien. On ne discerne ainsi ni constatation erronée des faits, ni violation de la présomption d’innocence. Ce moyen doit donc être rejeté.</w:t>
      </w:r>
    </w:p>
    <w:p>
      <w:r>
        <w:rPr>
          <w:b/>
        </w:rPr>
        <w:t>E. 5.1</w:t>
      </w:r>
    </w:p>
    <w:p>
      <w:r>
        <w:t>L’appelant fait valoir que le lien de causalité entre les marques constatées sur le véhicule de la plaignante et son comportement serait inexistant et soutient par surabondance qu’aucun élément de preuve au dossier ne permettrait de conclure à un quelconque dommage.</w:t>
      </w:r>
    </w:p>
    <w:p>
      <w:r>
        <w:rPr>
          <w:b/>
        </w:rPr>
        <w:t>E. 5.2</w:t>
      </w:r>
    </w:p>
    <w:p>
      <w:r>
        <w:t>Conformément à l'art. 144 al. 1 CP, celui qui aura endommagé, détruit ou mis hors d’usage une chose appartenant à autrui ou frappée d’un droit d’usage ou d’usufruit au bénéfice d’autrui sera, sur plainte, puni d’une peine privative de liberté de trois ans au plus ou d’une peine pécuniaire. L'auteur se rend coupable de dommages à la propriété dès qu'il cause un changement de l'état de la chose qui n'est pas immédiatement réversible sans frais ni effort et qui porte atteinte à un intérêt légitime (ATF 128 IV 250 consid. 2 ; TF 6B_120/2018 et 6B_136/2018 du 31 juillet 2018 consid. 4.1 ; TF 6B_77/2017 du 16 janvier 2018 consid. 2.1). L'infraction doit porter sur un objet corporel, mobilier ou immobilier, appartenant à autrui, même si l'auteur en est également copropriétaire (TF 6B_256/2018 du 13 août 2018 consid. 2.4.2 ; TF 6B_77/2017 précité et les références citées). L'atteinte peut consister à détruire ou à altérer la chose, mais peut aussi consister en une modification de la chose qui a pour effet d'en supprimer ou d'en réduire l'usage, les propriétés, les fonctions ou l'agrément. L’infraction est intentionnelle ; le dol éventuel suffit. L’auteur doit avoir la conscience et la volonté, au moins sous la forme du dol éventuel, de s’en prendre à la chose d’autrui ou à l’usage d’autrui et d’en changer l’état (ATF 116 IV 145 consid. 2b ; ATF 115 IV 26 consid. 3a, JdT 1990 IV 6 ; Dupuis et al. [éd.], Petit Commentaire du Code pénal, 2 e éd., Bâle 2017, n. 16 ad art. 144 CP et les références citées).</w:t>
      </w:r>
    </w:p>
    <w:p>
      <w:r>
        <w:rPr>
          <w:b/>
        </w:rPr>
        <w:t>E. 5.3</w:t>
      </w:r>
    </w:p>
    <w:p>
      <w:r>
        <w:t>L’appelant conteste en réalité les faits tels que retenus par le Tribunal de police. Or, c’est en vain qu’il plaide que son comportement n’aurait pas causé de dommage, dès lors que l’administration des preuves a conduit à confirmer les faits tels que retenus par le premier juge, à savoir qu’il a ouvert sans aucune précaution sa portière, laquelle a heurté le véhicule de la plaignante, occasionnant des dommages à la carrosserie de cette automobile. En outre, contrairement à ce qu’il soutient, les dégâts subis par la voiture de la plaignante sont bien étayés par des photographies au dossier. Il résulte par ailleurs des faits retenus à satisfaction de droit que l’appelant s’est accommodé, en se garant à plusieurs reprises de manière incorrecte à côté du véhicule de la plaignante, des dommages causés à celui-ci, en ouvrant sans précaution sa portière et en heurtant la carrosserie, commettant ainsi des dommages à la propriété à tout le moins par dol éventuel. Ce moyen doit donc être rejeté et la condamnation de l’appelant pour dommages à la propriété confirmée.</w:t>
      </w:r>
    </w:p>
    <w:p>
      <w:r>
        <w:rPr>
          <w:b/>
        </w:rPr>
        <w:t>E. 6.1</w:t>
      </w:r>
    </w:p>
    <w:p>
      <w:r>
        <w:t>A titre subsidiaire, l’appelant fait grief au premier juge d’avoir mal évalué les éléments à prendre en compte dans le cadre de la fixation de la peine et d’avoir omis de prendre en considération des éléments à décharge.</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6.3</w:t>
      </w:r>
    </w:p>
    <w:p>
      <w:r>
        <w:t>Pour fixer la quotité de la peine, le Tribunal de police a considéré que si l’acte commis était en lui-même de peu de gravité, il convenait de tenir compte de l’attitude détestable dont l’appelant avait fait preuve en cours de procédure, en continuant à nier en bloc toute responsabilité, en contestant avoir eu contact avec la gérance et en rejetant la faute sur la plaignante. Ce faisant, le premier juge a bien pris en compte les éléments objectifs et subjectifs pertinents, soit notamment le peu de gravité de la lésion, mais aussi le comportement de l’appelant après l’acte et au cours de la procédure. A l’instar de l’autorité de première instance, la Cour de céans ne voit pas d’élément à décharge, étant rappelé que l’absence d’antécédents a un effet neutre sur la peine. L’appelant ne précise au demeurant pas quel élément à décharge aurait été omis dans l’appréciation de sa culpabilité. Compte tenu de ce qui précède, dès lors que le Tribunal de police a pris en considération tous les éléments pertinents dans le cadre de l’évaluation de la culpabilité de l’appelant, il peut être renvoyé à la motivation du jugement attaqué (pp. 14 s. ; art. 82 al. 4 CPP), qui est claire et convaincante. La peine pécuniaire de vingt jours-amende à 50 fr. le jour avec sursis pendant deux ans et l’amende de 250 fr. à titre de sanction immédiate, convertible en trois jours de peine privative de liberté de substitution en cas de non-paiement fautif dans le délai imparti, adéquates tant dans leur forme que dans leur quotité, doivent donc être confirmées.</w:t>
      </w:r>
    </w:p>
    <w:p>
      <w:r>
        <w:rPr>
          <w:b/>
        </w:rPr>
        <w:t>E. 7</w:t>
      </w:r>
    </w:p>
    <w:p>
      <w:r>
        <w:t>L’appelant conclut au versement d’une indemnité de 4'940 fr. 50 pour les dépenses occasionnées par l’exercice raisonnable de ses droits en première instance et à ce que les frais de procédure soient laissés à la charge de l’Etat. Dès lors que sa condamnation pour dommages à la propriété est confirmée, cette conclusion doit être rejetée.</w:t>
      </w:r>
    </w:p>
    <w:p>
      <w:r>
        <w:rPr>
          <w:b/>
        </w:rPr>
        <w:t>E. 8</w:t>
      </w:r>
    </w:p>
    <w:p>
      <w:r>
        <w:t>En définitive, l’appel d’O.________ doit être rejeté et le jugement entrepris intégralement confirmé. Vu l’issue de la cause, les frais de la procédure d’appel, constitués du seul émolument de jugement, par 1’540 fr. (art. 21 al. 1 TFIP [tarif des frais de procédure et indemnités en matière pénale du 28 septembre 2010 ; BLV 312.03.1), seront mis à la charge d’O.________, qui succombe (art. 428 al. 1 CPP). Aucune indemnité au sens de l’art. 429 CPP ne sera allouée à O.________ pour ses frais de défense dans le cadre de la procédure d’appel, dans la mesure où son appel est rejeté et sa condamnation confirmée. Dès lors qu’elle n’a pas été invitée à se déterminer dans le cadre de la procédure d’appel, si ce n’est quant à la recevabilité de celui-ci, à son consentement à ce qu’il soit traité dans le cadre d’une procédure écrite et à l’éventuel dépôt d’un appel joint, une indemnité à forme de l’art. 433 CPP de 330 fr., correspondant à une heure d’activité d’avocat au tarif horaire de 300 fr. (art. 26a al. 3 TFIP), à des débours forfaitaires à concurrence de 2 % (art. 19 al. 2 TDC [tarif des dépens en matière civile du 23 novembre 2010 ; BLV 270.11.6], applicable par renvoi de l'art. 26a al. 6 TFIP), par 6 fr., et à la TVA au taux de 7,7 %, par 24 fr., sera allouée à G.________ pour les dépenses obligatoires occasionnées par la procédure d’appel,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