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189 vom 18. Oktober 2021</w:t>
      </w:r>
    </w:p>
    <w:p>
      <w:r>
        <w:t>VD Tribunal cantonal, 2021-10-18, FR</w:t>
      </w:r>
    </w:p>
    <w:p>
      <w:r>
        <w:rPr>
          <w:b/>
        </w:rPr>
        <w:t xml:space="preserve">Quelle: </w:t>
      </w:r>
      <w:r>
        <w:t>https://mcp.opencaselaw.ch/entscheid/vd_findinfo_Jug___2022___189</w:t>
      </w:r>
    </w:p>
    <w:p>
      <w:r>
        <w:t>FR: VD_FINDINFO Jug / 2022 / 189 du 18 octobre 2021</w:t>
      </w:r>
    </w:p>
    <w:p>
      <w:r>
        <w:t>IT: VD_FINDINFO Jug / 2022 / 189 del 18 ottobre 2021</w:t>
      </w:r>
    </w:p>
    <w:p>
      <w:pPr>
        <w:pStyle w:val="Heading2"/>
      </w:pPr>
      <w:r>
        <w:t>Regeste</w:t>
      </w:r>
    </w:p>
    <w:p>
      <w:r>
        <w:t>ADMISSION DE LA DEMANDE, BLANCHIMENT D'ARGENT, COMMERCE DE STUPÉFIANTS, CONSOMMATION DE STUPÉFIANTS, CONCOURS D'INFRACTIONS, EXPULSION{DROIT PÉNAL} | 106 CP, 109 CP, 305bis ch. 1 CP, 40 CP, 42 CP, 44 al. 1 CP, 47 CP, 49 al. 1 CP, 50 CP, 66a al. 1 let. o CP, 19 LStup, 19a ch. 1 LStup</w:t>
      </w:r>
    </w:p>
    <w:p>
      <w:pPr>
        <w:pStyle w:val="Heading2"/>
      </w:pPr>
      <w:r>
        <w:t>Erwägungen</w:t>
      </w:r>
    </w:p>
    <w:p>
      <w:r>
        <w:rPr>
          <w:b/>
        </w:rPr>
        <w:t>E. 1</w:t>
      </w:r>
    </w:p>
    <w:p>
      <w:r>
        <w:t>Interjeté dans les formes et délais légaux (art. 399 CPP [Code de procédure pénale du 5 octobre 2007 ; RS 312.0]) par une partie ayant qualité pour recourir (art. 381 al. 1 CPP) contre le jugement d’un tribunal de première instance qui a clos la procédure (art. 398 al. 1 CPP), l’appel du Ministère public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 Ministère public reproche au Tribunal correctionnel de ne pas avoir retenu l’intégralité des faits relatés aux cas 2 et 2.1 de l’acte d’accusation (cf. supra let. C.2.2 et C.2.3). Il considère que l’instruction a apporté suffisamment d’éléments probatoires attestant du fait que, entre début 2018 et le 11 décembre 2019, l’intimé aurait organisé l’importation en Suisse d’au moins 145,75 kg de marijuana. Le Parquet fait valoir que les déclarations du prévenu, selon lesquelles il aurait apporté son aide en tant que traducteur pour l’importation de cannabidiol (ci-après : CBD), mais n’aurait pas été mêlé à un trafic de marijuana contenant du THC, ne seraient pas crédibles. Il relève à cet égard que, selon l’extraction du téléphone portable du prévenu, celui-ci se serait adonné à un trafic de marijuana avec F.________ et E.________. Dans ce cadre, il n’aurait pas seulement agi en qualité de traducteur mais se serait occupé, à plusieurs reprises, du paiement des transactions. L’intimé aurait été rémunéré pour son activité et aurait eu un rôle actif dans ce trafic. Le Parquet relève, outre que le contenu des messages démontrerait que le prévenu et ses acolytes seraient pressés et agités, que le prévenu appelle F.________ « Escobar » ou « grand narco » et qu’ils adoptent un vocabulaire spécifique se référant aux termes de « beuh » et à différentes variétés de marijuana et souligne que le terme de « CBD » n’est à aucun moment mentionné dans ces messages. Le Ministère public indique que les prix pratiqués par le prévenu et ses comparses seraient trop élevés par rapport aux prix pratiqués dans le commerce de CBD et que, selon les circonstances dans lesquelles la marchandise a été transportée, il serait évident qu’il s’agissait de substances illégales, dès lors que des chauffeurs étaient engagés pour conduire les voitures et que celles-ci étaient munies de caches aménagées. De plus, aucune démarche auprès du service des douanes n’aurait été effectuée pour légaliser la prétendue importation de CBD ni aucune annonce de transfert d’argent. Il précise également que l’enquête de police n’avait pas permis d’identifier un seul client acquéreur de CBD ni un quelconque justificatif de vente de tel produit. Le Ministère public estime que les déclarations du prévenu ne seraient pas cohérentes. Il relève également que, dès lors que le trafic de CBD en Suisse est tout aussi légal qu’en [...], qui plus est, à un taux autorisé de THC plus élevé qu’en [...], le prévenu n’avait aucune raison de prendre part à un trafic de CBD dans ce pays. Par conséquent, il se serait ainsi rendu coupable d’infraction grave à la Loi fédérale sur les stupéfiants.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145 IV 154 consid. 1.1 ;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145 IV 154 précité ;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 ATF 127 I 38 précité).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w:t>
      </w:r>
    </w:p>
    <w:p>
      <w:r>
        <w:rPr>
          <w:b/>
        </w:rPr>
        <w:t>E. 3.3.1</w:t>
      </w:r>
    </w:p>
    <w:p>
      <w:r>
        <w:t>En l’espèce, les premiers juges ont retenu l’existence d’un doute raisonnable quant à la réalisation des faits décrits aux cas 2 et 2.1 de l’acte d’accusation (cf. supra let. C.2.2 et C.2.3). Se fondant essentiellement sur les déclarations du prévenu, ils ont considéré en substance que celui-ci n’avait apporté qu’une aide modeste et désintéressée à l’organisation d’importations de ce qu’il pensait être du CBD, estimant qu’il était établi à satisfaction qu’il s’agissait d’une autre substance. Il avait ainsi uniquement fonctionné en qualité d’intermédiaire pour l’importation de CBD entre son cousin établi en [...] et F.________, d’autant que les prix pratiqués par les protagonistes n’étaient pas vraisemblables pour du commerce de CBD. Le tribunal a enfin souligné l’excellente impression qu’avait fait l’intéressé aux débats.</w:t>
      </w:r>
    </w:p>
    <w:p>
      <w:r>
        <w:rPr>
          <w:b/>
        </w:rPr>
        <w:t>E. 3.3.2</w:t>
      </w:r>
    </w:p>
    <w:p>
      <w:r>
        <w:t>Ces considérations ne sauraient être suivies. En effet, même si le prévenu a fait une bonne impression aux débats de première instance, celui-ci n’est pas crédible. Comme relevé par le Ministère public, le prévenu manque de cohérence notamment lorsqu’il a déclaré, dans un premier temps, ne pas connaître « [...] » (PV aud. 3 R. 11 p. 8), expliquant ensuite avoir voulu taire qu’il s’agissait de son cousin, pensant que celui-ci ne déclarait pas aux impôts son commerce de CBD (PV aud. 8, Il. 124 à 126). Il en va de même lorsqu’il a indiqué ne pas être en mesure de différencier l’origan de la marijuana (PV aud. 8, l. 42 p. 2), alors qu’il a lui-même consommé de la marijuana (PV aud. 2 R. 9 p. 8). Enfin, lors de son audition du 22 janvier 2020, l’attitude de l’intimé consistant à dire d’emblée qu’il n’était pas le seul à utiliser son téléphone portable relève davantage d’une manœuvre tendant à anticiper la confrontation à certaines conversations compromettantes et susceptibles de l’impliquer dans un trafic de stupéfiants (PV aud. 3 R. 3 p. 2). Par ailleurs, le dossier contient suffisamment d’éléments permettant d’exclure un commerce légal de CBD. L’appelant a tout d’abord déclaré qu’il ne pensait pas faire du trafic parce qu’il ne faisait pas de profit (PV aud. 2 p. 8), et ce n’est qu’ultérieurement que le soi-disant commerce de CBD a été évoqué. Le vocabulaire utilisé dans les conversations téléphoniques fait clairement référence à un trafic de marijuana : dans ses messages avec F.________, le prévenu parle de « haze », « beuh », « Blue cheese », « chocolope » ou encore de « OG Kush afghan », soit uniquement des variétés ayant un taux élevé de THC et qui ne concernent donc pas le CBD (cf. P. 36/6 ; P. 36/7 ; P. 36/8 ; P. 36/9). Le terme de CBD n’apparaît d’ailleurs nulle part. Le fait que W.________ surnomme F.________ « Escobar » ou « grand narco » constitue également un indice de l’existence d’un trafic illicite (P. 36/9). Les prix pratiqués par les protagonistes ne sont en outre pas ceux qui correspondent à un commerce de CBD, lequel se vend, selon le Ministère public, qui se réfère à l’expérience des services de police ainsi que celle de deux professionnels de la branche, entre 2’500 fr. et 3’500 fr. le kilo (P. 36/1 p. 3 et P. 11 p. 11), alors que dans le présent dossier, le kilo est parfois acquis à plus de 5’000 fr. (P. 11 p. 11). A cet égard, le témoignage de Q.________, lui-même déféré pour l’acquisition de plus de 63 kg de marijuana, dont à tout le moins 2 kg auprès de F.________, n’est pas crédible car il avait tout intérêt à déclarer qu’il vendait lui-même du CBD à un prix avoisinant celui de la marijuana, afin d’éviter tout autre soupçon à son encontre (P. 11 p. 8 et 9 ; PV aud. 5 p. 2 et 3 et P. 24). Les circonstances dans lesquelles la marchandise a été transportée vient encore renforcer l’hypothèse d’un trafic illégal. Les voitures utilisées pour acheminer le produit étaient conduites par des chauffeurs et munies de caches aménagées (P.11 ; PV aud. 3 p. 5 et 6 ; P. 36/3 ; P. 36/7), dispositifs qui ne sont assurément pas utilisés pour un commerce effectué en toute légalité. De même, les échanges entre les protagonistes montrent qu’ils étaient particulièrement stressés et agités voire sur leur garde, « ça m’a mis grave la pression et le stress », « faut vraiment pas que ça se reproduise », « go faut surtout qu’il parte », « bref je vais pas te stresser » ou encore « fais au plus vite stp stp » (cf. P. 11 et 36). Ensuite, il ressort également de l’instruction que le rôle endossé par W.________ dans ce trafic était majeur. Il n’agissait pas seulement comme traducteur, puisqu’il s’est plusieurs fois occupé du paiement des transactions et était rémunéré pour son activité. Il avait un rôle actif, faisant même remarquer à F.________ lorsqu’il commettait une erreur de calcul (P. 36/2 ; P. 36/3 ; P. 36/4 ; P. 36/5 ; P. 36/6 ; PV aud. 8 ll. 144 à 148). Au vu de l’ensemble des éléments ci-dessus, les incohérences relevées dans le dossier par les premiers juges (cf. jugement pp. 14 et 15) ne sont pas déterminantes et il y a lieu de retenir que les faits se sont déroulés comme décrits au chiffre 2.1 de l’acte d’accusation (cf. supra let. C.2.3).</w:t>
      </w:r>
    </w:p>
    <w:p>
      <w:r>
        <w:rPr>
          <w:b/>
        </w:rPr>
        <w:t>E. 3.4</w:t>
      </w:r>
    </w:p>
    <w:p>
      <w:r>
        <w:t>Selon la jurisprudence, le cannabis reste une substance nocive pour la santé des consommateurs, notamment des jeunes et jeunes adultes en pleine phase de développement physique et psychique ; sa consommation régulière et/ou à haute dose peut entraîner une addiction, voire des troubles physiques et psychiques. Un trafic de cannabis de grande envergure est dès lors susceptible de réaliser le cas grave de l’art. 19 al. 2 let. c LStup, car il menace ainsi de manière sérieuse, au sens de l’art. 221 al. 1 let. c CPP, la santé et la sécurité des jeunes et des jeunes adultes, qui représentent une part importante des consommateurs et une frange de population particulièrement vulnérable (ATF 146 IV 326 consid. 3.2). Partant, W.________ doit être reconnu coupable d’infraction grave à la LStup (art. 19 al. 2 let. c LStup) pour avoir, entre le début 2018 et le 11 décembre 2019, organisé l’importation en Suisse d’au moins 145,75 kg de marijuana, ce qui constitue un trafic par métier de grande envergure et est susceptible de mettre en danger un grand nombre de consommateurs. L’appel du Ministère public doit être donc admis sur ce point.</w:t>
      </w:r>
    </w:p>
    <w:p>
      <w:r>
        <w:rPr>
          <w:b/>
        </w:rPr>
        <w:t>E. 4.1</w:t>
      </w:r>
    </w:p>
    <w:p>
      <w:r>
        <w:t>Selon le Ministère public, l’intimé aurait permis l’acheminement, en [...], de plusieurs centaines de milliers de francs et d’euros, à tout le moins des montants de 5’000 à 10’000 euros, voire le montant des transactions (P. 11 ; PV aud. 2, 3, 4 et 8) ou aurait remis l’argent aux chauffeurs qui transportaient la marchandise. Il se serait ainsi rendu coupable de blanchiment d’argent qualifié dès lors que son rôle aurait consisté à gérer le paiement des importations de marijuana, et ce au sein d’un réseau organisé pour acheminer des quantités massives de stupéfiants.</w:t>
      </w:r>
    </w:p>
    <w:p>
      <w:r>
        <w:rPr>
          <w:b/>
        </w:rPr>
        <w:t>E. 4.2</w:t>
      </w:r>
    </w:p>
    <w:p>
      <w:r>
        <w:t>Se rend coupable de blanchiment d’argent celui qui aura commis un acte propre à entraver l’identification de l’origine, la découverte ou la confiscation de valeurs patrimoniales dont il savait ou devait présumer qu’elles provenaient d’un crime ou d’un délit fiscal qualifié (art. 305 bis ch. 1 CP).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L’aménagement d’une cachette dans une maison, un bureau ou un moyen de transport pour y déposer le butin est un acte d’entrave (Dupuis et al., Petit commentaire, Code pénal, 2 e éd., Bâle 2019, nn. 25 et 29 ad art. 305 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précité consid. 4.2.3.2 ; TF 6B_461/2018 du 24 janvier 2019 consid. 6.2 ;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 op. cit., n. 35 ad art. 305 bis CP).</w:t>
      </w:r>
    </w:p>
    <w:p>
      <w:r>
        <w:rPr>
          <w:b/>
        </w:rPr>
        <w:t>E. 4.3</w:t>
      </w:r>
    </w:p>
    <w:p>
      <w:r>
        <w:t>En l’espèce, sur la base des faits retenus précédemment (cf. supra consid. 3.3.2), il apparaît que le rôle de W.________ a également consisté à gérer le paiement des importations de marijuana. A plusieurs reprises, il a amené l’argent en [...] ou remis l’argent des transactions aux chauffeurs qui transportaient la marchandise (PV aud. 8 ll. 144 et 145). Il a ainsi organisé l’importation en Suisse de marijuana pour : 51’000 fr. le 19 janvier 2018 (P. 11, point 5.1.1 et PV aud. 8) ; 83’100 euros le 3 février 2018 (P. 11 point 5.1.2 et PV aud. 8) ; 57’000 euros le 18 février 2018 (P. 11 point 5.1.3 et PV aud. 8) ; 50’000 fr. le 6 mai 2018 (P. 11 point 5.1.4 et PV aud. 8) et 39’000 euros les 16 et 17 septembre 2018 (P. 11 point 5.1.6 et PV aud. 8). Peu après la livraison du 18 février 2018, le prévenu s’est en outre rendu à [...] avec un montant de 5’000 à 10’000 euros (P. 11 point 5.1.3 et PV aud. 8 ll. 159 à 161). Il faut ainsi retenir que le prévenu a ramené l’argent de son trafic en [...], à tout le moins pour 5’000 à 10’000 euros. En revanche, contrairement à ce que soutient le Ministère public, W.________ n’a pas agi au sein d’une organisation criminelle, lui-même et ses acolytes n’étant pas suffisamment organisés et n’ayant pas la structure nécessaire pour être qualifiée comme telle. Partant, W.________ doit être reconnu coupable de blanchiment d’argent simple (art. 305 bis ch. 1 CP), l’appel du Ministère public étant partiellement admis sur ce point.</w:t>
      </w:r>
    </w:p>
    <w:p>
      <w:r>
        <w:rPr>
          <w:b/>
        </w:rPr>
        <w:t>E. 5.1</w:t>
      </w:r>
    </w:p>
    <w:p>
      <w:r>
        <w:t>Le Ministère public conteste la quotité de la peine prononcée par le Tribunal correctionnel à l’encontre du prévenu. Pour le Parquet, la culpabilité de l’intimé est lourde et une peine pécuniaire de 15 jours-amende ne serait pas suffisante pour le sanctionner, dès lors qu’il a admis les faits tels que décrits au chiffre 2.2 de l’acte d’accusation (cf. supra let. C.2.4), soit d’avoir remis à tout le moins 205 g de kétamine à des tiers. A cet égard, il fait valoir que la peine serait étrangement clémente étant donné que les doses prescrites pour cette substance dans le domaine médical se calculeraient au maximum en dizaine de milligrammes (cf. fiche compendium) et que la dose peut être létale dès 0,4 gramme. Le prévenu s’étant en outre rendu coupable de blanchiment d’argent et d’infractions grave à la LStup, le Ministère public requiert une peine privative de liberté de 36 mois, dont 9 mois ferme, sous déduction de deux jours de détention avant jugement.</w:t>
      </w:r>
    </w:p>
    <w:p>
      <w:r>
        <w:rPr>
          <w:b/>
        </w:rPr>
        <w:t>E. 5.2.1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 6B_757/2020 du 4 novembre 2020 consid. 3.1.1 à enlever ; TF 6B_631/2021 du 7 février 2022 consid. 1.1).</w:t>
      </w:r>
    </w:p>
    <w:p>
      <w:r>
        <w:rPr>
          <w:b/>
        </w:rPr>
        <w:t>E. 5.2.2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(ATF 138 IV 100 consid. 3.2 ; ATF 121 IV 193 consid. 2b/aa ; TF 6B_101/2021 du 22 décembre 2021 consid. 3.2 ; TF 6B_184/2021 du 16 décembre 2021 consid. 1.1 ; TF 613_227/2020 du 29 avril 2020 consid. 2.1 ; TF 66_1192/2018 du 23 janvier 2019 consid. 1.1 ; TF 66_780/2018 du 9 octobre 2018 consid. 2.1 et les réf. citées).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613_227/2020 précité et les réf.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66_965/2018 du 15 novembre 2018 consid. 3.3).</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66_79/2020 du 14 février 2020 consid. 2.1.2 ; TF 6B_776/2019 du 20 novembre 2019 consid. 4.1 ; TF 66_938/2019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66_776/2019 précité ; TF 66_938/2019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66_776/2019 précité).</w:t>
      </w:r>
    </w:p>
    <w:p>
      <w:r>
        <w:rPr>
          <w:b/>
        </w:rPr>
        <w:t>E. 5.2.4</w:t>
      </w:r>
    </w:p>
    <w:p>
      <w:r>
        <w:t>Aux termes de l’art. 42 al. 1 CP prévoit que le juge suspend en règle générale l’exécution d’une peine pécuniaire ou d’une peine privative de liberté de deux ans au plus lorsqu’une peine ferme ne paraît pas nécessaire pour détourner l’auteur d’autres crimes ou délits. Conformément à l’art. 42 al. 1 CP, le juge suspend en règle générale l’exécution d’une peine privative de liberté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 dernier ne doit être prononcé que si, sous l’angle de la prévention spéciale, l’octroi du sursis pour une partie de la peine ne peut se concevoir que moyennant l’exécution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227 consid. 3.1.1). Selon la jurisprudence, les conditions subjectives auxquelles l’art. 42 CP soumet l’octroi du sursis intégral s’appliquent également à l’octroi du sursis partiel (ATF 139 IV 270 consid. 3.3).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d’un sursis (TF 6B_489/2021 du 11 mars 2022 consid. 1.1 ; TF 6B_261/2021 du 2 février 2022 consid. 3.1.1). Le juge doit par ailleurs motiver sa décision de manière (cf. art. 50 CP) à permettre de vérifier s’il a tenu compte de tous les éléments pertinents et comment ils ont été appréciés (ATF 135 IV 180 précité consid. 2.1 et les références citées). Dans l’émission du pronostic, le juge dispose d’un large pouvoir d’appréciation.</w:t>
      </w:r>
    </w:p>
    <w:p>
      <w:r>
        <w:rPr>
          <w:b/>
        </w:rPr>
        <w:t>E. 5.3</w:t>
      </w:r>
    </w:p>
    <w:p>
      <w:r>
        <w:t>Comme on l’a vu, c’est en vain que W.________ soutient n’avoir pas participé à un trafic illicite de marijuana (cf. supra consid. 3.3.2). Il a en outre admis avoir fourni 55 g de kétamine à des tiers non identifiés et entre 150 et 200 g de cette drogue à K.________, ce qui représente déjà une quantité importante, la dose létale étant de 0,4 gramme (PV aud. 1 , ll. 89 à 98 ; PV aud. 6 R. 6 et R. 7 ; PV aud. 8 ll. 78 à 94 ; PV aud.9 ll. 45 et 46). Par ailleurs, le prévenu a réalisé, à quelques reprises, un bénéfice de 5 fr. à 10 fr par gramme (PV aud. 1 ; PV aud. 6, PV aud. 7 ; PV. aud. 8 ll. 79 à 81). Au surplus, en moins d’une année, W.________ a importé plus de 145 kg de marijuana en Suisse. Il s’agit d’un trafic avec des ramifications internationales, qui a mis en danger la santé de nombreuses personnes, seule son interpellation ayant permis de mettre un terme à ses agissements criminels, alors qu’il était en mesure de gagner honnêtement sa vie si l’on en croit son parcours professionnel. A l’audience d’appel, le prévenu n’a pas semblé avoir pris conscience de la gravité de ses actes, continuant à prétendre n’avoir joué aucun rôle. Lors de l’audience d’appel, le prévenu a certes déclaré qu’il ne consommait actuellement plus de kétamine. Tel n’était toutefois pas le cas au mois de février 2022 lorsque sa consommation était, selon ses déclarations, de 4 à 5 g de kétamine par jour (p. 3). Par le passé, le prévenu avait évalué sa consommation de kétamine à 2 g par jour soit en moyenne 60 g par mois, depuis 2013 (PV aud. 2 p. 8 et jugement p. 15 et 16). Par conséquent, le prévenu, qui se déclare lui-même polytoxicomane depuis longtemps, consommant, outre de la kétamine, diverses substances telles que marijuana, cocaïne, MDMA ou encore des champignons hallucinogènes (p. 5), paraît dès lors fortement exposé à la récidive. Ainsi pour des motifs de prévention spéciale, le blanchiment d’argent, l’infraction grave et l’infraction simple à la loi fédérale sur les stupéfiants doivent être punis d’une peine privative de liberté, sous réserve de la contravention à la loi fédérale sur les stupéfiants. L’infraction la plus grave à réprimer est celle d’infraction grave à la LStup (art. 19 al. 2 let. c LStup), de sorte que cette peine doit être déterminée en premier lieu. Les éléments rappelés ci-dessus justifient une peine privative de liberté de 24 mois pour sanctionner cette infraction. Par l’effet du concours (art. 49 al. 1 CP), cette peine doit être augmentée de six mois pour le blanchiment d’argent (art. 305 bis ch. 1 CP) et de six mois pour l’infraction simple à la loi fédérale sur les stupéfiants (art. 19 al. 1 let. c LStup). La peine privative de liberté d’ensemble doit en conséquence être fixée à 36 mois. En ce qui concerne le sursis, il existe de nombreux éléments faisant craindre un risque élevé de récidive, à commencer par la polytoxicomanie du prévenu, ainsi que son absence de prise de conscience tant de l’illicéité que de la gravité de ses actes. Ainsi, il se justifie de prononcer une peine privative de liberté ferme de 9 mois, le sursis pouvant être accordé sur le solde portant sur 27 mois. La durée du délai d’épreuve assortissant le sursis sera fixée à trois ans. Pour le surplus, le Ministère public ne conteste pas l’amende de 300 fr. sanctionnant la contravention à la loi fédérale sur les stupéfiants. Vérifiée d’office et au vu de la situation personnelle du prévenu et des fautes commises, le montant de l’amende de 300 fr. est justifié et sera confirmé. La conversion en une peine privative de liberté de trois jours en cas de non-paiement fautif paraît adéquate et doit également être confirmée.</w:t>
      </w:r>
    </w:p>
    <w:p>
      <w:r>
        <w:rPr>
          <w:b/>
        </w:rPr>
        <w:t>E. 6.1</w:t>
      </w:r>
    </w:p>
    <w:p>
      <w:r>
        <w:t>Le Ministère public conclut à l’expulsion du territoire suisse de l’intimé pour une durée de huit ans.</w:t>
      </w:r>
    </w:p>
    <w:p>
      <w:r>
        <w:rPr>
          <w:b/>
        </w:rPr>
        <w:t>E. 6.2.1</w:t>
      </w:r>
    </w:p>
    <w:p>
      <w:r>
        <w:t>Aux termes de l’art. 66a al. 1 let. o CP, le juge expulse de Suisse l’étranger qui est condamné pour infraction à l’art. 19 al. 2 LStup, pour une durée de cinq à quinze ans, quelle que soit la quotité de la peine prononcée à son encontre. L’expulsion est donc en principe indépendante de la gravité des faits retenus (ATF 144 IV 332 consid. 3.1.3 ; TF 66_506/2017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66_124/2020 du 1 er mai 2020 consid. 3.2.1).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(Constitution fédérale de la Confédération suisse du 18 avril 1999 ; RS 101) serait violé. Il s’ensuit que le juge doit renoncer à l’expulsion lorsque les conditions de l’art. 66a al. 2 CP sont réunies, conformément au principe de proportionnalité (ATF 144 IV 332 précité ; TF 66_1329/2018 précité ; TF 66_1262/2018 précité).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66_124/2020 précité ; TF 66_1421/2019 du 12 février 2020 consid. 1.3 ; TF 66_1024/2019 du 29 janvier 2020 consid. 1.3.2).</w:t>
      </w:r>
    </w:p>
    <w:p>
      <w:r>
        <w:rPr>
          <w:b/>
        </w:rPr>
        <w:t>E. 6.2.2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Il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66_506/2017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66_908/2019 du 5 novembre 2019 consid. 2.1.1). Les relations visées par l’art. 8 CEDH sont avant tout celles qui concernent la famille dite nucléaire, soit celles qui existent entre époux ainsi qu’entre parents et enfants mineurs vivant en ménage commun (ATF 144 II 1 précité ; ATF 135 I 143 consid. 1.3.2 ; TF 66_908/2019 précité). Une relation familiale et un lien émotionnel ordinaires ne suffisent toutefois pas pour renoncer à l’expulsion (TF 66_680/2018 du 19 septembre 2018 consid. 1.5). Un lien particulièrement fort est nécessaire pour envisager l’application de la clause de rigueur pour ce motif (TF 66_1314/2018 du 29 janvier 2019 consid. 5.3).</w:t>
      </w:r>
    </w:p>
    <w:p>
      <w:r>
        <w:rPr>
          <w:b/>
        </w:rPr>
        <w:t>E. 6.3</w:t>
      </w:r>
    </w:p>
    <w:p>
      <w:r>
        <w:t>En l’espèce, l’intimé est reconnu coupable d’infraction grave à la loi fédérale sur les stupéfiants (art. 19 al. 2 LStup), soit d’une infraction qui tombe sous le coup de l’art. 66a al. 1 let. o CP, de sorte qu’il remplit a priori les conditions d’une expulsion, sous la réserve de l’application de l’art. 66a al. 2 CP, voire également des normes de droit international (cf. ATF 144 IV 332 consid. 3.2). Après avoir accompli sa scolarité obligatoire en [...], l’intimé a ensuite étudié à [...], où il a rejoint son frère, étant de nationalité [...]. Il a travaillé dans l’hôtellerie, à [...], [...] puis en Suisse, à [...] et à [...]. En septembre 2018, il a quitté son emploi en raison de problèmes de santé, il a déclaré ne pas arriver à poursuivre son activité professionnelle en raison de sa consommation croissante de kétamine. Il bénéficie du revenu d’insertion depuis lors. Depuis le mois de juillet 2019, il entretient une relation avec son amie O.________, avec laquelle il vit dans un deux pièces et entend se marier. Il est titulaire d’un permis B, valable selon ses dires, jusqu’en juin 2022. Par ailleurs, sa mère et son frère vivent en [...]. Au vu de ce qui précède, il n’y a aucun élément selon lequel l’expulsion de W.________, en [...], le placerait dans une situation personnelle grave. Il convient encore d’examiner si l’intérêt privé de W.________ à demeurer en Suisse l’emporte sur celui, public, au prononcé de l’expulsion. A cet égard, sans emploi ni famille en Suisse, il ne bénéficie pas d’une intégration dans ce pays telle que l’intérêt à y rester serait prépondérant. Le fait de maîtriser le français ou d’y avoir une relation sentimentale n’apparaît clairement pas suffisant. Il a quitté son emploi de son propre chef mais a certes déclaré faire actuellement des démarches pour reprendre le « Café [...] », à [...], évoquant une signature de contrat imminente. La concrétisation de ce projet, qui serait financé par l’intimé, dont la contribution se ferait en nature sous forme de travaux, ainsi que deux associés à concurrence de 25’000 fr., paraît douteuse d’autant qu’une enquête a été ouverte contre l’intimé au mois de février 2022 pour des faits similaires à ceux qui lui sont imputés dans la présente procédure (P. 39/1). En outre, force est de constater qu’il jouait un rôle prépondérant dans le trafic de stupéfiants qui lui est reproché et qu’il a participé à neuf trajets, au moins, pour l’importation d’une quantité minimale totale de 145,75 kg de marijuana. Les soupçons de récidive en cours d’enquête sèment le doute sur la considération que porte l’intimé à l’ordre public suisse, de sorte qu’un pronostic favorable quant à son comportement futur ne peut pas être émis. Au regard de ces éléments, l’intérêt public à son expulsion l’emporte clairement sur son intérêt privé à demeurer en Suisse. En conséquence, aucun élément ne permet d’envisager de déroger au principe de l’expulsion obligatoire et l’expulsion de W.________ doit être ordonnée. La durée de l’expulsion de l’intimé requise par le Ministère public est adéquate et doit être fixée à huit ans.</w:t>
      </w:r>
    </w:p>
    <w:p>
      <w:r>
        <w:rPr>
          <w:b/>
        </w:rPr>
        <w:t>E. 7</w:t>
      </w:r>
    </w:p>
    <w:p>
      <w:r>
        <w:t>En définitive, l’appel du Ministère public doit être partiellement admis et le jugement entrepris réformé dans le sens des considérants qui précèdent. S’agissant de l’indemnité du défenseur d’office de W.________, Me Sandeep Pai a produit une liste des opérations faisant état d’une activité de 5 heures et 10 minutes pour la procédure d’appel (P. 40), dont il n’y a pas lieu de s’en écarter, sauf pour y ajouter le temps d’audience. Ainsi, c’est une indemnité de défenseur d’office pour la procédure d’appel d’un montant de 1’417 fr. 90 qui sera allouée à Me Sandeep Pai, correspondant à 6 heures et 31 minutes d’activité d’avocat au tarif horaire de 180 fr., par 1’173 fr., d’une vacation de 120 fr., des débours correspondant à 2 % (art. 3 bis al. 1 RAJ [Règlement du 7 décembre 2010 sur l’assistance judiciaire en matière civile ; BLV 211.02.3], applicable par renvoi de l’art. 26b TFIP [ Tarif des frais de procédure et indemnités en matière pénale du 28 septembre 2010 ; BLV 312.03.1] ), par 23 fr. 50, et la TVA de 7,7 %, par 101 fr. 40. Vu l’issue de la cause, les frais de la procédure d’appel, par 4’757 fr. 90, constitués de l’émolument d’audience et de jugement, par 3’340 fr. (art. 21 al. 1 TFIP), et de l’indemnité due au défenseur d’office de l’intimé, par 1’417 fr. 90, seront mis à la charge de W.________, qui succombe dès lors que l’appel du Ministère public étant admis pour l’essentiel (art. 428 al. 1, 1 re phrase, CPP). L’intimé ne sera toutefois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