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 vom 20. Dezember 2021</w:t>
      </w:r>
    </w:p>
    <w:p>
      <w:r>
        <w:t>VD Tribunal cantonal, 2021-12-20, FR</w:t>
      </w:r>
    </w:p>
    <w:p>
      <w:r>
        <w:rPr>
          <w:b/>
        </w:rPr>
        <w:t xml:space="preserve">Quelle: </w:t>
      </w:r>
      <w:r>
        <w:t>https://mcp.opencaselaw.ch/entscheid/vd_findinfo_Jug___2022___17</w:t>
      </w:r>
    </w:p>
    <w:p>
      <w:r>
        <w:t>FR: VD_FINDINFO Jug / 2022 / 17 du 20 décembre 2021</w:t>
      </w:r>
    </w:p>
    <w:p>
      <w:r>
        <w:t>IT: VD_FINDINFO Jug / 2022 / 17 del 20 dicembre 2021</w:t>
      </w:r>
    </w:p>
    <w:p>
      <w:pPr>
        <w:pStyle w:val="Heading2"/>
      </w:pPr>
      <w:r>
        <w:t>Regeste</w:t>
      </w:r>
    </w:p>
    <w:p>
      <w:r>
        <w:t>CONSTATATION DES FAITS, APPRÉCIATION DES PREUVES, DIMINUTION EFFECTIVE DE L'ACTIF, DOL ÉVENTUEL, EXEMPTION DE PEINE | 12 al. 2 CP, 164 CP, 53 CP, 10 CPP (CH), 389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D.S.________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rPr>
          <w:b/>
        </w:rPr>
        <w:t>E. 2.3</w:t>
      </w:r>
    </w:p>
    <w:p>
      <w:r>
        <w:t>L’appelante a requis, à titre de mesures d’instruction, les auditions en qualité de témoins de son ex-époux B.N.________, de sa fille T.N.________ et du compagnon de celle-ci, Q.________. Elle fait valoir que B.N.________ pourrait témoigner du fonctionnement de la famille et en particulier confirmer que K.S.________ avait toujours apporté un soutien financier conséquent et régulier à sa fille, ainsi qu’apporter un éclairage sur le fonctionnement financier de ses beaux-parents et en particulier confirmer que son beau-père avait en son temps même remboursé ses propres dettes. Elle indique que Q.________ pourrait décrire la manière de fonctionner de la famille du point de vue financier et confirmer que les travaux qu’elle avait entrepris étaient nécessaires à la conservation de l’immeuble. Elle fait enfin valoir que T.N.________ pourrait témoigner du fonctionnement de la famille depuis 2008 et confirmer que feu son grand-père avait beaucoup aidé financièrement sa fille et avait payé les dettes de son ex-beau-fils, que J.S.________ lui avait payé certaines factures et témoigner du fait que celle-ci était parfaitement consciente et d’accord qu’en raison de ses difficultés financières, sa fille était habilitée à utiliser ses comptes bancaires pour certaines dépenses et que la donation contestée ne poursuivait aucune intention pénalement répréhensible. Une appréciation anticipée de ces témoignages conduit toutefois à en rejeter l’administration comme inutile pour le sort de la cause. En effet, quand bien même les témoins dont l’audition est requise confirmeraient que K.S.________ et J.S.________ auraient aidé financièrement l’appelante, voire son ex-époux, cela ne légitimerait pas celle-ci à se faire céder un bien qui aurait permis de désintéresser les créanciers de sa mère, devenue impécunieuse. Quand bien même ils confirmeraient également que le projet familial était que la maison reste dans la famille, cela ne légitimerait toujours pas l’appelante, en l’absence de moyens suffisants pour désintéresser les créanciers de sa mère, à distraire du patrimoine de celle-ci le seul actif qui subsistait. Par ailleurs, le fait que l’appelante aurait été habilitée à utiliser les comptes de sa mère pour certaines dépenses et la nécessité des travaux entrepris dans la villa ne concernent pas les faits retenus à l’encontre de D.S.________ et objets du présent jugement, mais ceux dont la prévenue a été libérée en première instance au bénéfice du retrait de plainte. En tout état de cause, la force probante de la déposition de la fille de l’appelante serait particulièrement faible au vu de la loyauté affective de celle-ci à l’égard de sa mère, et son témoignage quant à l’intention poursuivie par la prévenue serait dépourvu de portée décisive dès lors que T.N.________ ne pouvait pas connaître les dispositions internes de sa mère. Partant, les conditions de l’art. 389 al. 2 et 3 CPP n’étant pas réalisées, les mesures d’instruction requises doivent être rejetées.</w:t>
      </w:r>
    </w:p>
    <w:p>
      <w:r>
        <w:rPr>
          <w:b/>
        </w:rPr>
        <w:t>E. 3.1</w:t>
      </w:r>
    </w:p>
    <w:p>
      <w:r>
        <w:t>A titre liminaire, l’appelante fait grief aux premiers juges de s’être laissés influencer par l’image peu reluisante que l’acte d’accusation donnait d’elle. Invoquant ensuite une appréciation arbitraire des preuves, elle conteste avoir contacté un notaire et fait procéder à l’acte de donation litigieux dans le but de porter préjudice aux créanciers de sa mère. Elle soutient qu’il aurait été convenu que la maison familiale lui revienne et, si elle admet avoir effectivement mandaté le notaire pour procéder à l’acte de donation litigieux, elle fait valoir qu’elle aurait déjà entrepris une démarche similaire au mois d’août 2013, époque à laquelle sa mère ne rencontrait pas encore de problèmes financiers, de sorte que l’acte de donation ne procéderait pas d’une intention pénalement répréhensible d’éviter que la maison soit saisie en vue de désintéresser quelque créancier que ce soit, mais s’inscrirait dans une logique de continuité. Elle relève par ailleurs que le notaire qui a entériné l’acte litigieux aurait attesté du fait que sa mère avait pleinement conscience de ce qu’elle faisait en lui donnant sa part de copropriété et des conséquences que cela avait pour elle, de sorte que sa conscience de l’incapacité de discernement de sa mère aurait dû être nuancée.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3.2.2</w:t>
      </w:r>
    </w:p>
    <w:p>
      <w:r>
        <w:t>Selon l'art. 164 CP (Code pénal suisse du 21 décembre 1937 ; RS 311.0),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 L’infraction n'est punissable que si le débiteur a été déclaré en faillite ou si un acte de défaut de biens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6B_776/2019 du 20 novembre 2019 consid. 2.1 ; TF 6B_979/2017 du 29 mars 2018 consid. 4.1). L’infraction est intentionnelle ; le dol éventuel suffit. Outre l'intention générale, l'art. 164 CP exige une intention spéciale : l'auteur doit avoir l'intention de causer un dommage à son ou ses créanciers (TF 6B_776/2019 précité ; TF 6B_979/2017 précité ; Corboz, Les infractions en droit suisse, vol. I, 3 e éd., n. 24 ad art. 164 CP). L'infraction visée par l'art. 164 ch. 1 CP est un délit propre, qui ne peut être commis que par le débiteur. D'après l'art. 164 ch. 2 CP, le tiers ne sera punissable que s'il s'est livré à « ces agissements », à savoir s'il a accompli un des comportements énumérés de manière exhaustive au chiffre 1. Le deuxième alinéa du chiffre 1 ne parle que de « cession » et non d'« acquisition »,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au-delà de la seule acceptation de la prestation (ATF 126 IV 5 consid. 2d ; TF 6B_776/2019 précité ; TF 6B_979/2017 précité).</w:t>
      </w:r>
    </w:p>
    <w:p>
      <w:r>
        <w:rPr>
          <w:b/>
        </w:rPr>
        <w:t>E. 3.2.3</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 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w:t>
      </w:r>
    </w:p>
    <w:p>
      <w:r>
        <w:rPr>
          <w:b/>
        </w:rPr>
        <w:t>E. 3.3</w:t>
      </w:r>
    </w:p>
    <w:p>
      <w:r>
        <w:t>Le Tribunal correctionnel a considéré qu’il ne faisait aucun doute, vu les éléments figurant au dossier, que D.S.________ avait initié la donation de la maison de sa mère en sa faveur, et a relevé que J.S.________ était quoi qu’il en soit incapable de discernement à cette époque (P. 4/2), de sorte que c’était bien l’appelante qui avait agi. Les premiers juges ont constaté que J.S.________ s’était en conséquence retrouvée en position d’insaisissabilité et qu’un acte de défaut de biens avait été délivré à la Fondation P.________, de sorte que les éléments constitutifs objectifs ainsi que la condition objective de punissabilité étaient réalisés, ce que la défense ne contestait au demeurant pas. S’agissant de la réalisation de l’élément constitutif subjectif de l’infraction, les premiers juges ont retenu que l’appelante savait parfaitement que les factures de la Fondation P.________ n’étaient pas entièrement payées et qu’elle était également consciente que l’arriéré allait grandissant dès lors qu’elle avait dit et répété qu’elle n’en réglait qu’une partie en fonction de ses possibilités. Le Tribunal correctionnel a estimé qu’elle était également consciente que ces impayés pouvaient amener concrètement à la saisie du bien immobilier de sa mère qui était en situation de devoir des montants très importants à la Fondation P.________ et dont la fortune et les revenus ne permettaient plus d’espérer toute autre forme de recouvrement. Les premiers juges ont encore estimé qu’il n’était pas crédible que l’appelante ait pu espérer régulariser la situation avec un emploi à 60 % qui lui assurait un revenu mensuel de 2'800 fr., montant qui était manifestement insuffisant pour couvrir ses charges et amortir une dette déjà importante. Si D.S.________ a expliqué qu’elle espérait pouvoir augmenter son taux d’activité à 100 %, elle n’avait manifestement aucune garantie quant à une éventuelle augmentation de son taux d’activité et, partant, de ses revenus. En définitive, le Tribunal correctionnel a considéré qu’elle avait, à tout le moins par dol éventuel, accepté l’éventualité que la donation dont elle était à l’origine prive la Fondation P.________ de la possibilité de recouvrer sa créance, ce qui avait du reste été le cas puisque dite fondation était à ce jour encore uniquement en possession d’un acte de défaut de biens s’élevant à 72'230 fr. 45. L’appréciation claire et convaincante du Tribunal correctionnel ne prête pas le flanc à la critique et doit être partagée, quand bien même elle s’inscrirait dans un contexte qui donnerait une mauvaise image de l’appelante, ce qui ne peut bien évidemment pas être reproché aux premiers juges. Aux débats d’appel, D.S.________ a confirmé que c’était elle qui avait organisé les démarches qui avaient abouti à la donation de la maison et qui s’occupait à l’époque des affaires financières de sa mère, de sorte qu’elle savait que celle-ci ne possédait plus de liquidités et avait en revanche une dette substantielle envers la Fondation P.________. Elle a également admis qu’il était risqué d’envisager de rembourser l’EMS en augmentant son taux d’activité et a confirmé que lors de la donation, elle avait déjà reçu la convocation de la Justice de paix et qu’elle savait dès lors qu’une procédure de désignation d’un curateur était initiée (cf. p. 3 supra ). Contrairement à ce que soutient l’appelante, le jugement entrepris ne retient pas qu’elle aurait agi dans le but direct de léser les créanciers de sa mère, puisqu’il indique qu’elle a agi « à tout le moins par dol éventuel ». Peu importe dès lors que le mobile de l’appelante ait consisté aussi dans la réalisation du souhait familial que la maison lui revienne. Peu importe également que la donation ait déjà été envisagée en 2013, avant que sa mère rencontre des problèmes financiers. Ce premier projet n’avait rien de pénal et elle n’a pas été mise en accusation pour ces faits. Ce qui compte en revanche, c’est la situation au moment de la donation litigieuse. Or, l’appelante a mandaté le notaire pour instrumenter la donation en 2017, après avoir disposé de toutes les liquidités de sa mère et alors qu’elle savait que la mise sous curatelle de celle-ci était imminente. Dès lors qu’elle s’occupait elle-même des affaires de sa mère, l’appelante savait en outre que l’EMS n’était pas payé, puisque l’arriéré s’élevait à 42'926 fr. 80 au 30 juin 2017, que les comptes bancaires de celle-ci étaient vides et que des poursuites allaient être entamées. Elle a en outre admis qu’il était risqué d’envisager de rembourser l’EMS en augmentant son taux d’activité. Il ne pouvait donc pas lui échapper que le seul moyen envisageable pour combler le trou qu’elle avait laissé se creuser était la réalisation de la maison et elle savait que la donation à elle-même en constituerait un obstacle. Il ne fait dès lors aucun doute qu’elle a, à tout le moins, accepté l’éventualité que la donation qu’elle a organisée prive la Fondation P.________ de la possibilité de recouvrer sa créance. Il est en outre sans pertinence que le notaire ait attesté la capacité de discernement de la mère de l’appelante, dès lors que celle-ci est visée en tant que tiers au sens de l’art. 164 ch. 2 CP, disposition qui ne prévoit pas de distinction selon que le débiteur au sens du ch. 1 serait ou non capable de discernement. C’est donc à juste titre que le Tribunal correctionnel a retenu que l’élément subjectif de l’infraction était réalisé. Le grief doit donc être rejeté et la condamnation de l’appelante pour diminution effective de l’actif au préjudice des créanciers confirmée.</w:t>
      </w:r>
    </w:p>
    <w:p>
      <w:r>
        <w:rPr>
          <w:b/>
        </w:rPr>
        <w:t>E. 4</w:t>
      </w:r>
    </w:p>
    <w:p>
      <w:r>
        <w:t>L’appelante conclut à ce que les frais de la cause soient laissés à la charge de l’Etat. Dès lors qu’elle repose sur la prémisse de son acquittement, cette conclusion doit être rejetée.</w:t>
      </w:r>
    </w:p>
    <w:p>
      <w:r>
        <w:rPr>
          <w:b/>
        </w:rPr>
        <w:t>E. 5.1</w:t>
      </w:r>
    </w:p>
    <w:p>
      <w:r>
        <w:t>A titre subsidiaire, l’appelante conclut à son exemption de toute peine en application de l’art. 53 CP. Elle fait valoir qu’en consentant à se défaire de la maison dans laquelle elle a grandi et dont le produit de la vente devrait permettre de désintéresser les créanciers de sa mère, elle aurait fourni tous les efforts que l’on pouvait raisonnablement attendre d’elle pour réparer le dommage qu’elle a causé. Elle soutient en outre que l’intérêt à la poursuivre serait peu important au vu de l’ensemble des circonstances entourant les faits de la cause.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5.2.2</w:t>
      </w:r>
    </w:p>
    <w:p>
      <w:r>
        <w:t>L’art. 53 aCP dans sa teneur au 30 juin 2019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disposition est applicable en l'espèce sans égard à la modification entrée en vigueur le 1 er juillet 2019, qui n'est pas plus favorable à l'appelante dès lors qu’elle pose notamment comme condition supplémentaire que l’auteur ait admis les faits.</w:t>
      </w:r>
    </w:p>
    <w:p>
      <w:r>
        <w:rPr>
          <w:b/>
        </w:rPr>
        <w:t>E. 5.3</w:t>
      </w:r>
    </w:p>
    <w:p>
      <w:r>
        <w:t>En l’espèce, la culpabilité de l’appelante ne doit pas être minimisée. En effet, quand bien même la convention passée entre celle-ci et sa mère au mois de juin 2021 devrait permettre de désintéresser les créanciers et les conditions du sursis étaient remplies, il y a lieu de constater qu’elle a soustrait un bien valant plusieurs centaines de milliers de francs du patrimoine de sa mère alors qu’elle savait que les créanciers de celle-ci n’étaient pas payés, de sorte que l'intérêt public à la poursuite d'une telle infraction est important. En effet, une exemption de toute peine reviendrait dans de telles circonstances à encourager les justiciables à tromper leurs créanciers, dès lors qu’ils encourraient seulement de devoir payer leur dû s’ils étaient découverts. Afin de protéger de manière adéquate le patrimoine des créanciers, l'autorité se doit de punir ce type de comportement, et, en l’espèce, celui de l’appelante, dont la culpabilité n’est pas négligeable. L’application de l’art. 53 CP ne se justifiant pas, ce moyen doit être rejeté.</w:t>
      </w:r>
    </w:p>
    <w:p>
      <w:r>
        <w:rPr>
          <w:b/>
        </w:rPr>
        <w:t>E. 6</w:t>
      </w:r>
    </w:p>
    <w:p>
      <w:r>
        <w:t>Pour le surplus, l’appelante ne conteste pas la quotité de la peine en tant que telle. Procédant à son examen d’office, la Cour de céans considère que la peine prononcée par les premiers juges a été fixée en application des critères légaux et conformément à la culpabilité et à la situation personnelle de D.S.________. Il peut dès lors être renvoyé à cet égard à la motivation du jugement attaqué (pp. 17 ss ; art. 82 al. 4 CPP), qui est claire et convaincante. La peine pécuniaire de 240 jours-amende à 30 fr. le jour avec sursis pendant deux ans, adéquate tant dans sa forme que dans sa quotité, ainsi que l’amende de 1'440 fr. à titre de sanction immédiate et la peine privative de liberté de substitution de 48 jours y relative, doivent donc être confirmées.</w:t>
      </w:r>
    </w:p>
    <w:p>
      <w:r>
        <w:rPr>
          <w:b/>
        </w:rPr>
        <w:t>E. 7</w:t>
      </w:r>
    </w:p>
    <w:p>
      <w:r>
        <w:t>En définitive, l’appel de D.S.________ doit être rejeté et le jugement entrepris intégralement confirmé. Il n’y a pas lieu de s’écarter de la liste des opérations produite par Me Véronique Fontana, défenseur d’office de D.S.________, qui fait état de 10 h 55 d’activité d’avocate y compris la durée de l’audience d’appel, d’une vacation et de débours forfaitaires à concurrence de 5 % des honoraires, si ce n’est pour réduire le montant des débours, ceux-ci devant être indemnisés sur une base forfaitaire à concurrence de 2 % du montant des honoraires admis (art. 3 bis RAJ [règlement sur l’assistance judiciaire en matière civile du 7 décembre 2010 ; BLV 211.02.3], par renvoi de l’art. 26b TFIP [tarif des frais de procédure et indemnités en matière pénale du 28 septembre 2010 ; BLV 312.03.1]), vacation et TVA en sus. L’indemnité de défenseur d’office allouée à Me Véronique Fontana pour la procédure d’appel est par conséquent fixée à 2'287 fr. 85, correspondant à 10 h 55 d’activité au tarif horaire de 180 fr., par 1'965 fr., à 39 fr. 30 de débours, à une vacation à 120 fr. et à la TVA au taux de 7,7 %, par 163 fr. 55. Vu l'issue de la cause, les frais de la procédure d'appel, par 4'777 fr. 85, constitués de l'émolument du présent jugement, par 2’490 fr. (art. 21 al. 1 et 2 TFIP), ainsi que de l’indemnité allouée au défenseur d’office de D.S.________, par 2'287 fr. 85, seront mis à la charge de l’appelante, qui succombe (art. 428 al. 1 CPP). D.S.________ sera tenue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