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149 vom 1. Januar 2021</w:t>
      </w:r>
    </w:p>
    <w:p>
      <w:r>
        <w:t>VD Tribunal cantonal, 2021-01-01, FR</w:t>
      </w:r>
    </w:p>
    <w:p>
      <w:r>
        <w:rPr>
          <w:b/>
        </w:rPr>
        <w:t xml:space="preserve">Quelle: </w:t>
      </w:r>
      <w:r>
        <w:t>https://mcp.opencaselaw.ch/entscheid/vd_findinfo_Jug___2022___149</w:t>
      </w:r>
    </w:p>
    <w:p>
      <w:r>
        <w:t>FR: VD_FINDINFO Jug / 2022 / 149 du 1 janvier 2021</w:t>
      </w:r>
    </w:p>
    <w:p>
      <w:r>
        <w:t>IT: VD_FINDINFO Jug / 2022 / 149 del 1 gennaio 2021</w:t>
      </w:r>
    </w:p>
    <w:p>
      <w:pPr>
        <w:pStyle w:val="Heading2"/>
      </w:pPr>
      <w:r>
        <w:t>Regeste</w:t>
      </w:r>
    </w:p>
    <w:p>
      <w:r>
        <w:t>PROTECTION DU CLIMAT, MANIFESTATION, CIRCULATION ROUTIÈRE{TRAFIC ROUTIER}, PROCÉDURE ÉCRITE, POLICE ET ORDRE PUBLIC, LIBERTÉ DE MANIFESTATION, UNITÉ DE LA PROCÉDURE, ENTRAVE AUX SERVICES D'INTÉRÊT GÉNÉRAL, LIBERTÉ D'EXPRESSION, LIBERTÉ DE RÉUNION, PRINCIPE DE LA CÉLÉRITÉ, PRINCIPE DE L'ACCUSATION | 10 CEDH, 11 CEDH, 239 CP, 286 CP, 10 CPP (CH), 29 CPP (CH), 30 CPP (CH), 325 al. 1 let. f CPP (CH), 406 al. 1 let. a CPP (CH), 5 al. 1 CPP (CH), 9 CPP (CH)</w:t>
      </w:r>
    </w:p>
    <w:p>
      <w:pPr>
        <w:pStyle w:val="Heading2"/>
      </w:pPr>
      <w:r>
        <w:t>Erwägungen</w:t>
      </w:r>
    </w:p>
    <w:p>
      <w:r>
        <w:rPr>
          <w:b/>
        </w:rPr>
        <w:t>E. 1</w:t>
      </w:r>
    </w:p>
    <w:p>
      <w:r>
        <w:t>CPP) contre le jugement d’un tribunal de première instance ayant clos la procédure (art. 398 al. 1 CPP), les appels sont recevables. Vu leur connexité, ils doivent être tranchés par un seul arrêt.</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w:t>
      </w:r>
    </w:p>
    <w:p>
      <w:r>
        <w:rPr>
          <w:b/>
        </w:rPr>
        <w:t>E. 2.2</w:t>
      </w:r>
    </w:p>
    <w:p>
      <w:r>
        <w:t>p. 65; ATF 141 IV 132 consid. 3.4.1 p. 142 s.). Il découle du principe de l'immutabilité de l'acte d'accusation que le tribunal est lié par l'état de fait décrit dans l'acte d'accusation (TF 6B_1498/2020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al. 1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TF 6B_1498/2020 précité, ibid., et les références citées). Des imprécisions relatives au lieu ou à la date sont sans portée, dans la mesure où le prévenu ne peut pas avoir de doute sur le comportement qui lui est reproché (TF 6B_1498/2020 précité, ibid., et les références citées).</w:t>
      </w:r>
    </w:p>
    <w:p>
      <w:r>
        <w:rPr>
          <w:b/>
        </w:rPr>
        <w:t>E. 3.1</w:t>
      </w:r>
    </w:p>
    <w:p>
      <w:r>
        <w:t>Les appelant requièrent la tenue de débats publics.</w:t>
      </w:r>
    </w:p>
    <w:p>
      <w:r>
        <w:rPr>
          <w:b/>
        </w:rPr>
        <w:t>E. 3.2</w:t>
      </w:r>
    </w:p>
    <w:p>
      <w:r>
        <w:t>La procédure d'appel est réglée par les art. 403 ss CPP. En principe, elle est orale et publique et se déroule selon les dispositions applicables aux débats de première instance (cf. art. 69 al. 1 et 405 CPP; Message du 21 décembre 2005 relatif à l'unification du droit de la procédure pénale, FF 2006 1300). Elle peut toutefois se dérouler selon une procédure écrite dans les cas visés à l'art. 406 al. 1 et 2 CPP. Cette disposition énumère exhaustivement les cas dans lesquels la juridiction d'appel peut traiter l'appel en procédure écrite. Le législateur n'a en effet prévu cette possibilité qu'à titre exceptionnel. La procédure écrite est soumise à des conditions strictes. Ainsi, alors que l'art. 406 al. 2 CPP traite des cas dans lesquels l'appel peut faire l'objet d'une procédure écrite avec l'accord des parties, l'art. 406 al. 1 CPP énumère les cas dans lesquels la juridiction d'appel peut, sans que l'accord des parties ne soit nécessaire, traiter l'appel en procédure écrite. Il s'agit notamment du cas où seuls des points de droit doivent être tranchés (let. a). Il en découle que la procédure écrite est exclue lorsque les faits sont discutés. A cet égard, l'art. 406 CPP offre moins de souplesse que la jurisprudence rendue en relation avec les garanties de l'oralité et de la publicité des débats, composantes du droit à un procès équitable, déduites des art. 29 al. 1, 30 al. 3 Cst., 6 par. 1 CEDH et 14 par. 1 Pacte ONU II. En effet, selon cette jurisprudence, le droit de comparaître personnellement doit être respecté devant les juridictions de première instance;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De telles exceptions ne sont pas prévues dans le cadre de l'art. 406 CPP, des débats devant être tenus dès qu'une question de fait est litigieuse, sous réserve de l'accord des parties avec la procédure écrite. La distinction entre les faits et le droit n'est pas toujours aisée. Dans le doute, l'autorité d'appel doit tenir des débats (ATF 139 IV 290 consid. 1.1 et les références).</w:t>
      </w:r>
    </w:p>
    <w:p>
      <w:r>
        <w:rPr>
          <w:b/>
        </w:rPr>
        <w:t>E. 3.3</w:t>
      </w:r>
    </w:p>
    <w:p>
      <w:r>
        <w:t>En l’espèce, ni dans sa déclaration d’appel motivée du 27 décembre 2021, ni dans son mémoire du 31 mars 2022, l’appelant M.________ ne fait valoir une constatation incomplète ou erronée des faits selon l’art. 398 al. 3 let. b CPP. Bien plutôt, aux débats, il a relevé ce qui suit : « (…) J’ai discuté avec du monde jusqu’au moment de l’ordre d’évacuation par la police. A ce moment-là avec d’autres personnes nous avons improvisé une tortue. J’avais déjà vu ce système utilisé dans d’autres manifestations. (…) » (jugement, p. 14, 2 e par.). Il en va de même de l’appelant B.________, qui a admis ce qui suit : « (…) J’ai entendu les ordres d’évacuation par la police . (…) on m’a dit qu’une sommation avait eu lieu. Quand je l’ai su, j’avais à cœur que la manifestation continue, je suis donc resté sur place. Ensuite, la police est venue m’interpeller . (…) » (jugement, p. 15, 3 e par.). Les appelants ne contestent ainsi aucunement leur participation aux faits incriminés. Ils admettent en particulier n’avoir pas obtempéré aux injonctions de la police leur enjoignant de quitter les lieux. Vu les considérations qui précèdent, seuls des points de droit doivent être tranchés, les faits n’étant ainsi pas contestés. Partant, il convient de traiter les appels en procédure écrite, conformément à l'art. 406 al. 1 let. a CPP.</w:t>
      </w:r>
    </w:p>
    <w:p>
      <w:r>
        <w:rPr>
          <w:b/>
        </w:rPr>
        <w:t>E. 4</w:t>
      </w:r>
    </w:p>
    <w:p>
      <w:r>
        <w:t>A titre de mesure d’instruction, l’appelant M.________ requiert l’audition, comme témoins, de plusieurs spécialistes de divers domaines liés au dérèglement climatique, et qui seraient en mesure d’apporter des éléments scientifiques attestant de l’urgence et de la gravité du problème (déclaration d’appel, ch. 2). Ces auditions ne sont pas nécessaires, dans la mesure où la réalité du dérèglement climatique est désormais reconnue. En effet,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31 janvier 2022/95 consid. 4; CAPE 28 septembre 2020/130 consid. 5.3; CAPE 22 septembre 2020/371 consid. 6.3). Les auditions de témoins ou d’experts requises portant ainsi sur des faits connus, les réquisitions de preuves doivent être rejetées.</w:t>
      </w:r>
    </w:p>
    <w:p>
      <w:r>
        <w:rPr>
          <w:b/>
        </w:rPr>
        <w:t>E. 5.1</w:t>
      </w:r>
    </w:p>
    <w:p>
      <w:r>
        <w:t>Les appelants requièrent également la production des dossiers en possession de la Municipalité de Lausanne et de la Police municipale de Lausanne, en originaux et complets. La production des dossiers municipaux n’est pas nécessaire, car les autorités judiciaires se fondent sur le dossier judiciaire pour statuer. Dans le cas particulier, le dossier sur lequel s’est fondé le Tribunal de police comporte tous les éléments de fait qui permettent de statuer en droit. Ces réquisitions de preuves doivent donc également être rejetées.</w:t>
      </w:r>
    </w:p>
    <w:p>
      <w:r>
        <w:rPr>
          <w:b/>
        </w:rPr>
        <w:t>E. 5.2</w:t>
      </w:r>
    </w:p>
    <w:p>
      <w:r>
        <w:t>Ce qui précède d’applique mutatis mutandis à la réquisition de l’appelant B.________ tendant à l’audition d’un témoin de moralité (déclaration d’appel, ch. 3.B). En effet, les conditions personnelles de ce prévenu sont exposées à satisfaction de droit dans le jugement. En particulier, la solidité de ses convictions quant à la nécessité de lutter contre le dérèglement climatique, dont devrait attester le témoin dont l’audition est requise, est reconnue par le Tribunal de police, dans la mesure où le jugement retient que « (…) les prévenus ont agi pour défendre une cause idéale » (p. 31, 2 e par. in initio).</w:t>
      </w:r>
    </w:p>
    <w:p>
      <w:r>
        <w:rPr>
          <w:b/>
        </w:rPr>
        <w:t>E. 6.1</w:t>
      </w:r>
    </w:p>
    <w:p>
      <w:r>
        <w:t>Toujours à titre préalable, les appelants requièrent la suspension de la procédure d’appel pour permettre sa jonction avec toutes les causes concernant la manifestation du 14 décembre 2019. En particulier, dans sa déclaration d’appel motivée du 27 décembre 2021 (ch. V), ainsi que dans son mémoire du 31 mars 2022 (ch. III.3.1), l’appelant M.________ invoque la violation du principe de l’unité de la procédure, pour en déduire que sa cause n’aurait pas dû être disjointe de celles de tous les autres participants à la manifestation du 14 décembre 2019. L’appelant B.________ articule des moyens identiques dans sa déclaration motivée du 23 décembre 2021 (ch. III.2) et dans son mémoire du 31 mars 2022 (ch. IV.1).</w:t>
      </w:r>
    </w:p>
    <w:p>
      <w:r>
        <w:rPr>
          <w:b/>
        </w:rPr>
        <w:t>E. 6.2</w:t>
      </w:r>
    </w:p>
    <w:p>
      <w:r>
        <w:t>Consacrant le principe dit de l’unité de la procédure, l’art. 29 al. 1 CPP prévoit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La disjonction peut également tendre à ne pas prolonger une détention provisoire déjà longue, aux fins d’instruire des délits nouveaux de moindre importance. S’agissant des infractions impliquant plusieurs auteurs ou participants, une exception au principe d’unité s’impose lorsque seuls certains participants sont en état d’être jugés, alors que d’autres sont par exemple en fuite (Bouverat, Commentaire romand, Code de procédure pénale suisse, 2 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6.3</w:t>
      </w:r>
    </w:p>
    <w:p>
      <w:r>
        <w:t>En l’espèce, comme le relève le premier juge, certains prévenus ont participé à d’autres manifestations, qui ont donné lieu à des procédures distinctes, lesquelles sont pendantes devant le Tribunal d’arrondissement de Lausanne ou le Ministère public. Il s’ensuit qu’une éventuelle identité des causes fait quoi qu’il en soit défaut. En outre, la requête tendant à réunir les causes de centaines de manifestants, soit plus de 200 dossiers (cf. jugement, p. 5), en une procédure judiciaire unique est incompatible avec le principe de célérité consacré à l’art. 5 al. 1 CPP et contreviendrait au principe d’économie de la procédure (jugement, ibid.). Qui plus est, ces nombreux prévenus sont renvoyés notamment pour des contraventions, qui se prescrivent par trois ans (art. 109 CP, applicable par analogie par renvoi de l’art. 20 al. 1 LContr [Loi du 19 mai 2009 sur les contraventions; BLV 312.11]). Il apparaît pour le moins malaisé de statuer sur quelque 200 actions pénales avant l’échéance de délais de prescription triennaux ayant débuté le 14 décembre 2019, abstraction faite même du cas de prévenus ayant également participé à des manifestations antérieures. Enfin, au stade de la procédure de deuxième instance, certains prévenus ont fait ou feront appel, alors que d’autres non, de sorte qu’il est vain d’envisager une jonction de toutes les causes à ce stade non plus. Le principe d’unité de la procédure n’est par conséquent pas violé.</w:t>
      </w:r>
    </w:p>
    <w:p>
      <w:r>
        <w:rPr>
          <w:b/>
        </w:rPr>
        <w:t>E. 7.1</w:t>
      </w:r>
    </w:p>
    <w:p>
      <w:r>
        <w:t>L’appelant M.________ soutient ensuite, par un long développement parfois difficile à suivre, que, si la jonction de toutes les causes relatives à la manifestation du 14 décembre 2019 n’était pas prononcée, il en résulterait une violation de la présomption d’innocence.</w:t>
      </w:r>
    </w:p>
    <w:p>
      <w:r>
        <w:rPr>
          <w:b/>
        </w:rPr>
        <w:t>E. 7.2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7.3</w:t>
      </w:r>
    </w:p>
    <w:p>
      <w:r>
        <w:t>En l’espèce, aucun des appelants ne conteste les faits incriminés, soit d’avoir participé à la manifestation du 14 décembre 2019. Partant, en présence de faits admis, il ne peut y avoir de violation de l’art. 10 al. 3 CPP qui porte, comme l’indique l’énoncé de cette disposition légale, sur les éléments factuels de la cause.</w:t>
      </w:r>
    </w:p>
    <w:p>
      <w:r>
        <w:rPr>
          <w:b/>
        </w:rPr>
        <w:t>E. 8.1</w:t>
      </w:r>
    </w:p>
    <w:p>
      <w:r>
        <w:t>L’appelant M.________ se prévaut en outre d’une violation du principe d’accusation (mémoire du 31 mars 2022, ch. III.3.3.2). L’appelant B.________ en fait de même (mémoire du 31 mars 2022, ch. 3.2). En substance, ils soutiennent que l’ordonnance pénale valant acte d’accusation par effet de l’opposition (art. 356 al. 1, seconde phrase, CPP [cf. ci-dessous]) ne décrirait pas les actes dont il leur était spécifiquement grief, mais se limitait à une description générale des circonstances de la manifestation du 14 décembre 2019.</w:t>
      </w:r>
    </w:p>
    <w:p>
      <w:r>
        <w:rPr>
          <w:b/>
        </w:rPr>
        <w:t>E. 8.2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ATF 143 IV 63 consid.</w:t>
      </w:r>
    </w:p>
    <w:p>
      <w:r>
        <w:rPr>
          <w:b/>
        </w:rPr>
        <w:t>E. 8.3</w:t>
      </w:r>
    </w:p>
    <w:p>
      <w:r>
        <w:t>Comme déjà relevé, le nombre de prévenus devant répondre de faits survenus peu ou prou dans les mêmes circonstances que ceux dont il est fait grief aux appelants est élevé, s’agissant d’une action collective de vaste ampleur. Ce nonobstant, l’ordonnance pénale décrit, pour chaque prévenu, les actes incriminés, même si c’est par des termes identiques, à caractère quelque peu général. L’acte d’accusation contient ainsi les circonstances de temps et de lieu précises, et les comportements prohibés des prévenus (manifestations non-autorisées, blocage de la circulation et opposition à l’évacuation par la police). La description des faits incriminés satisfait ainsi, pour chaque prévenu, aux exigences posées par l’art. 325 al. 1 let. f CPP. Pour le reste, de plus amples développements ou précisions auraient été contraires à l’exigence de brièveté consacrée par cette disposition. Dès lors, aucun des prévenus ne pouvait avoir de doute au sujet du comportement qui lui était reproché. Cet élément suffit à satisfaire aux exigences de la jurisprudence fédérale (TF 6B_1498/2020 précité, ibid., et les références citées). Les moyens déduits de la violation du principe d’accusation tombent donc à faux.</w:t>
      </w:r>
    </w:p>
    <w:p>
      <w:r>
        <w:rPr>
          <w:b/>
        </w:rPr>
        <w:t>E. 9.1</w:t>
      </w:r>
    </w:p>
    <w:p>
      <w:r>
        <w:t>Les appelants contestent que les troubles entraînés par la manifestation du 14 décembre 2019 aient été suffisamment longs pour qu’il en soit résulté une véritable entrave aux services d’intérêt général au sens de l’art. 239 CP.</w:t>
      </w:r>
    </w:p>
    <w:p>
      <w:r>
        <w:rPr>
          <w:b/>
        </w:rPr>
        <w:t>E. 9.2</w:t>
      </w:r>
    </w:p>
    <w:p>
      <w:r>
        <w:t>A teneur de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Selon la jurisprudence du Tribunal fédéral,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w:t>
      </w:r>
    </w:p>
    <w:p>
      <w:r>
        <w:rPr>
          <w:b/>
        </w:rPr>
        <w:t>E. 9.3</w:t>
      </w:r>
    </w:p>
    <w:p>
      <w:r>
        <w:t>Il est établi que, durant la manifestation non autorisée, le trafic des transports publics lausannois a été interrompu dès 10h55 pour toutes les lignes transitant par la Place Saint-François, ce qui a entrainé des retards de 30 à 40 minutes, jusqu’à ce que les effets de la perturbation s’estompent vers 16h00 (jugement, p. 22). Dans le cas particulier, il est donc manifeste que la perturbation du service des transports publics lausannois, qui s’est étendue sur plusieurs heures et a concerné en particulier toutes les lignes passant par la Place Saint-François, a atteint la durée et l’intensité nécessaire pour réaliser les éléments constitutifs objectifs de l’art. 239 CP.</w:t>
      </w:r>
    </w:p>
    <w:p>
      <w:r>
        <w:rPr>
          <w:b/>
        </w:rPr>
        <w:t>E. 9.4.1</w:t>
      </w:r>
    </w:p>
    <w:p>
      <w:r>
        <w:t>L’appelant M.________ conteste s’être rendu coupable d’empêchement d’accomplir un acte officiel.</w:t>
      </w:r>
    </w:p>
    <w:p>
      <w:r>
        <w:rPr>
          <w:b/>
        </w:rPr>
        <w:t>E. 9.4.2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p. 117 s.; ATF 120 IV 136 consid. 2 a p. 139 et les références citées). Il n'est en revanche pas nécessaire que l'auteur parvienne à éviter effectivement l'accomplissement de l'acte officiel, il suffit qu'il le rende plus difficile, l'entrave ou le diffère (ATF 127 IV 115 consid. 2 p. 117 s.; ATF 124 IV 127 consid. 3a p. 129; TF 6B_89/2019 du 17 mai 2019 consid. 1.1.1;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p. 100; ATF 127 IV 115 consid. 2 p. 117 s. et les références citées) qui est réalisée, par exemple, par le fait de prendre la fuite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TF 6B_89/2019 du 17 mai 2019 consid. 1.1.1).</w:t>
      </w:r>
    </w:p>
    <w:p>
      <w:r>
        <w:rPr>
          <w:b/>
        </w:rPr>
        <w:t>E. 9.4.3</w:t>
      </w:r>
    </w:p>
    <w:p>
      <w:r>
        <w:t>En l’espèce, l’appelant M.________ a participé à une formation dite « en tortue », par laquelle les manifestants sont tenus les uns aux autres. Cette formation est destinée à empêcher l’évacuation par la police (cf. jugement, p. 28-29). Délibéré, ce comportement réalise les éléments constitutifs objectifs et subjectifs de l’infraction réprimée par l'art. 286 CP.</w:t>
      </w:r>
    </w:p>
    <w:p>
      <w:r>
        <w:rPr>
          <w:b/>
        </w:rPr>
        <w:t>E. 9.5</w:t>
      </w:r>
    </w:p>
    <w:p>
      <w:r>
        <w:t>En définitive, en participant, sur le domaine public, à une manifestation non autorisée dont l’effet a été d’empêcher l’accès aux voies de circulation du centre-ville aux non-manifestants, aux services d’urgence et aux transports publics (cf. consid. 9.3 ci-dessus), ce dont il s’est accommodé, l’appelant M.________ s’est rendu coupable d’entrave aux services d’intérêt général et de contravention à la LContr en relation avec l’art. 41 al. 1 du Règlement général de police de la Commune de Lausanne. En s’intégrant dans une « tortue », destinée à éviter son évacuation par la police, il s’est en outre rendu coupable d’empêchement d’accomplir un acte officiel. Sa condamnation pour ces trois chefs de prévention doit donc être confirmée. Pour sa part, l’appelant B.________, en participant à une manifestation non autorisée dans les circonstances décrites ci-dessus, s’est rendu coupable d’entrave aux services d’intérêt général et de contravention à la LContr en relation avec l’art. 41 al. 1 du Règlement général de police de la Commune de Lausanne. Sa condamnation pour ces deux chefs de prévention doit donc être confirmée.</w:t>
      </w:r>
    </w:p>
    <w:p>
      <w:r>
        <w:rPr>
          <w:b/>
        </w:rPr>
        <w:t>E. 10.1</w:t>
      </w:r>
    </w:p>
    <w:p>
      <w:r>
        <w:t>Les appelants soutiennent que leur action s’inscrivait dans une démarche de protestation protégée par la liberté de manifester et les libertés de réunion et d’expression, garanties notamment par le droit international de rang constitutionnel (cf. ci-dessous), de sorte qu’ils ne sauraient être sanctionnés pénalement.</w:t>
      </w:r>
    </w:p>
    <w:p>
      <w:r>
        <w:rPr>
          <w:b/>
        </w:rPr>
        <w:t>E. 10.2</w:t>
      </w:r>
    </w:p>
    <w:p>
      <w:r>
        <w:t>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contre Russie du 15 novembre 2018, § 101; Ezelin contre France du 26 avril 1991, § 35, série A n o 202). L'art. 11 CEDH ne protège que le droit à la liberté de « réunion pacifique »,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Frumkin contre Russie du 5 janvier 2016, § 98; Yaroslav Belousov contre Russie précité, § 168; tous avec les références citées). Il existe, en principe, sur la base de la liberté d'opinion, d'information et de réunion, un droit conditionnel à l'usage accru du domaine public pour des manifestations avec appel au public (ATF 144 I 50 consid. 6.3; ATF 138 I 274 consid. 2.2.2; ATF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ATF 132 I 256 consid. 3). Le droit à la liberté de réunion inclut le droit de choisir les horaires et la date, le lieu et les modalités du rassemblement, dans les limites établies au paragraphe 2 de l'art.</w:t>
      </w:r>
    </w:p>
    <w:p>
      <w:r>
        <w:rPr>
          <w:b/>
        </w:rPr>
        <w:t>E. 10.3</w:t>
      </w:r>
    </w:p>
    <w:p>
      <w:r>
        <w:t>En l’espèce, le premier juge a exposé en détail les circonstances entourant la manifestation du 14 décembre 2019 et la manière dont celle-ci s’était déroulée. L’intention du mouvement Extinction Rebellion de mettre en place une action de blocage au centre-ville de Lausanne était connue des autorités et des Transports publics de la région lausannoise, notamment parce que l’appel à manifester avait été largement relayé sur les réseaux sociaux. Toutefois, aucune demande d’autorisation n’avait été déposée auprès des services compétents de la commune de Lausanne. La manifestation a débuté à 10 h 05 par le blocage de la rue Centrale. A 10 h 10, une vingtaine de personnes équipées de gilets blancs se sont couchées à même le sol, gênant ainsi le trafic des piétons. Un blocage a également été organisé à la Place Saint-François, si bien que la police a fermé la rue Pépinet pour éviter que les deux groupes de manifestants se rejoignent. A 13 h 15, les injonctions effectuées par le Commandant de police ont été adressées aux manifestants. Il a été décidé que les interpellations de ceux qui ne respecteraient pas les directives débuteraient un quart d’heure plus tard, ce qui constitue un délai de tolérance supplémentaire. Au moins une ambulance a dû pénétrer dans le périmètre de sécurité établi par les forces de l’ordre, ce qui a rallongé le délai d’intervention. En outre, l’acheminement du patient au CHUV a nécessité qu’un couloir soit organisé par la police de la rue Centrale en direction de la rue Saint-Martin. Au vu de ces faits, la liberté de manifester et les libertés de réunion et d’expression des appelants n’ont de toute évidence pas été violées. En effet, après que les manifestants ont pu se réunir et s’exprimer pendant un peu plus de trois heures, c’est à bon droit que les autorités ont commencé à disperser les manifestants afin de restaurer l’usage normal du domaine public. En outre, les policiers ont procédé à l’évacuation de manière proportionnée, sans aucun usage excessif de la force. Les droits de rang constitutionnel invoqués par les appelants ne les autorisaient ni à entraver l’usage du domaine public ni à refuser d’obtempérer à l’ordre d’évacuation des lieux qui leur était signifié par la police.</w:t>
      </w:r>
    </w:p>
    <w:p>
      <w:r>
        <w:rPr>
          <w:b/>
        </w:rPr>
        <w:t>E. 11</w:t>
      </w:r>
    </w:p>
    <w:p>
      <w:r>
        <w:t>L’appelant B.________ conclut à la réforme du jugement en ce sens que la libération dont il a bénéficié à raison du chef de prévention de contravention à l’art. 26 du Règlement général de police de la Commune de Lausanne doit « faire partie du dispositif ». Il soutient que le dispositif du jugement serait incomplet, soit entaché d’une erreur de plume, faute de mentionner cette libération (mémoire du 31 mars 2021, let. D). Le chiffre X du dispositif me mentionne certes pas cette libération; son chiffre XI ne comporte qu’une référence à la contravention à la LContr, sans renvoi à une norme pénale spéciale. Il ressort pourtant du préambule, soit de l’introduction, du dispositif (jugement, p. 34) que l’art. 25 al. 1 LContr n’est appliqué qu’en relation avec l’art. 41 du Règlement général de police de la Commune de Lausanne, à l’exclusion, notamment, de l’art. 26 de ce règlement, ce que confirment du reste les motifs du jugement (ch. 5.6, p. 29 s.).</w:t>
      </w:r>
    </w:p>
    <w:p>
      <w:r>
        <w:rPr>
          <w:b/>
        </w:rPr>
        <w:t>E. 12.1</w:t>
      </w:r>
    </w:p>
    <w:p>
      <w:r>
        <w:t>L’appelant M.________ invoque une violation du principe de célérité (déclaration d’appel, ch. 121 ss). A l’appui de ce moyen, il fait valoir que la durée écoulée entre la réception du dossier par le greffe pénal de première instance et la fixation de l’audience est excessive au regard des exigences jurisprudentielles.</w:t>
      </w:r>
    </w:p>
    <w:p>
      <w:r>
        <w:rPr>
          <w:b/>
        </w:rPr>
        <w:t>E. 12.2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ATF 130 I 312 consid. 5.1). La violation du principe de célérité peut avoir pour conséquence la diminution de la peine, parfois l'exemption de toute peine ou encore une ordonnance de classement en tant qu' ultima ratio dans les cas les plus extrêmes (ATF 143 IV 373 précité consid. 1.4.1; ATF 135 IV 12 consid 3.6; TF 6B_203/2019 du 10 avril 2019 consid. 3.1). Il incombe au juge d'indiquer comment et dans quelle mesure il a tenu compte de cette circonstance (ATF 117 IV 124 consid. 3 et 4; TF 6B_556/2017 du 15 mars 2018 consid. 3.1; TF 6B_790/2017 du 18 décembre 2017 consid. 2.3.2; TF 6B_728/2010 du 1 er mars 2011 consid. 5.5.1; TF 6B_908/2009 du 3 novembre 2010 consid. 3.1 non publié in ATF 136 IV 188).</w:t>
      </w:r>
    </w:p>
    <w:p>
      <w:r>
        <w:rPr>
          <w:b/>
        </w:rPr>
        <w:t>E. 12.3</w:t>
      </w:r>
    </w:p>
    <w:p>
      <w:r>
        <w:t>Le Tribunal de police a reçu le dossier de la cause le 17 février 2020 et les débats ont été fixés le 2 septembre 2021, soit effectivement près de 19 mois plus tard. Cette situation s’explique par le fait que ce tribunal d’arrondissement avait, au jour de l’audience du 17 novembre 2021, reçu plus de 200 causes analogues (cf. jugement, p. 5) présentant des questions juridiques complexes concernant l’état de nécessité et les droits constitutionnels des manifestants. Ces causes devant être traitées de manière identique sur un plan juridique,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juridiquement et procéduralement et il n’y a pas eu de violation du principe de célérité. Quoi qu’il en soit, même à considérer que le laps de temps qui s’est écoulé entre la saisine du tribunal et l’ouverture des débats de première instance était excessif, cela ne saurait toutefois conduire à une réduction de peine. En effet, selon l’appréciation de la cour, l’entrave aux services d’intérêt général, qui constitue l’infraction de base retenue à la charge de M.________, aurait dû être punie d’une peine pécuniaire de 20 jours-amende, puis augmentée, par l’effet du concours (art. 49 al. 1 CP), de 10 jours-amende pour l’empêchement d’accomplir un acte officiel. La peine pécuniaire de 15 jours-amende prononcée en première instance tient donc en réalité déjà compte de la violation du principe de célérité, par une réduction de peine de moitié.</w:t>
      </w:r>
    </w:p>
    <w:p>
      <w:r>
        <w:rPr>
          <w:b/>
        </w:rPr>
        <w:t>E. 13.1</w:t>
      </w:r>
    </w:p>
    <w:p>
      <w:r>
        <w:t>Les appelants demandent enfin l’exemption de toute peine motif pris de l’absence d’intérêt à punir et se prévalent, à défaut, du mobile honorable, même si aucune conclusion portant sur une atténuation de peine n’est formulée par B.________ (mémoire du 31 mars 2022 de M.________, ch. 3.5 et 3.6; mémoire du 31 mars 2022 de B.________, ch. 5 et 6).</w:t>
      </w:r>
    </w:p>
    <w:p>
      <w:r>
        <w:rPr>
          <w:b/>
        </w:rPr>
        <w:t>E. 13.2.1</w:t>
      </w:r>
    </w:p>
    <w:p>
      <w:r>
        <w:t>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w:t>
      </w:r>
    </w:p>
    <w:p>
      <w:r>
        <w:rPr>
          <w:b/>
        </w:rPr>
        <w:t>E. 13.2.2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135 IV 130 consid. 5.3.3 p. 135 s.). La culpabilité de l'auteur se détermine selon les règles générales de l'art.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13.3.1</w:t>
      </w:r>
    </w:p>
    <w:p>
      <w:r>
        <w:t>En l’espèce, les appelants ont assurément agi pour défendre une cause idéale, comme l’a relevé le Tribunal de police (jugement, en p. 31).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(CAPE 17 juin 2021/185 consid. 6.1.3.1). La manière d’agir des prévenus consistant à ne pas obtempérer aux sommations des forces de l’ordre a toutefois pour effet de reléguer à l'arrière-plan leur mobile, aussi respectable fût-il, si bien que l’art. 48 let. a CP ne saurait s’appliquer (arrêts précités; CAPE 17 juin 2021/185 consid. 6.1.3.1).</w:t>
      </w:r>
    </w:p>
    <w:p>
      <w:r>
        <w:rPr>
          <w:b/>
        </w:rPr>
        <w:t>E. 13.3.2</w:t>
      </w:r>
    </w:p>
    <w:p>
      <w:r>
        <w:t>Les conditions de l'art. 52 CP ne sont pas non plus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capitale vaudoise. On ne saurait dès lors considérer qu'il s'agit d'une affaire d'une importance négligeable au sens de l’art. 52 CP (cf. CAPE 24 janvier 2022/48 consid. 5.2, concernant des faits analogues).</w:t>
      </w:r>
    </w:p>
    <w:p>
      <w:r>
        <w:rPr>
          <w:b/>
        </w:rPr>
        <w:t>E. 13.3.3</w:t>
      </w:r>
    </w:p>
    <w:p>
      <w:r>
        <w:t>Cela étant, la quotité des peines n’est au surplus pas contestée séparément. Elles peuvent ainsi être confirmées par adoption de motifs (art. 82 al. 4 CPP).</w:t>
      </w:r>
    </w:p>
    <w:p>
      <w:r>
        <w:rPr>
          <w:b/>
        </w:rPr>
        <w:t>E. 14</w:t>
      </w:r>
    </w:p>
    <w:p>
      <w:r>
        <w:t>Vu l’issue des appels, les frais d’appel (art. 21 al. 1 et 2 TFIP [Tarif des frais de procédure et indemnités en matière pénale du 28 septembre 2010; RSV 312.03.1]), limités à l’émolument de jugement, à raison de 2'750 fr., seront mis à la charge des appelants, qui succombent entièrement (art. 428 al. 1, 1 re phrase, CPP), à parts égales entre eux (art. 418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