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127 vom 10. Februar 2022</w:t>
      </w:r>
    </w:p>
    <w:p>
      <w:r>
        <w:t>VD Tribunal cantonal, 2022-02-10, FR</w:t>
      </w:r>
    </w:p>
    <w:p>
      <w:r>
        <w:rPr>
          <w:b/>
        </w:rPr>
        <w:t xml:space="preserve">Quelle: </w:t>
      </w:r>
      <w:r>
        <w:t>https://mcp.opencaselaw.ch/entscheid/vd_findinfo_Jug___2022___127</w:t>
      </w:r>
    </w:p>
    <w:p>
      <w:r>
        <w:t>FR: VD_FINDINFO Jug / 2022 / 127 du 10 février 2022</w:t>
      </w:r>
    </w:p>
    <w:p>
      <w:r>
        <w:t>IT: VD_FINDINFO Jug / 2022 / 127 del 10 febbraio 2022</w:t>
      </w:r>
    </w:p>
    <w:p>
      <w:pPr>
        <w:pStyle w:val="Heading2"/>
      </w:pPr>
      <w:r>
        <w:t>Regeste</w:t>
      </w:r>
    </w:p>
    <w:p>
      <w:r>
        <w:t>FIXATION DE LA PEINE, PEINE D'ENSEMBLE, SURSIS PARTIEL À L'EXÉCUTION DE LA PEINE, CONCOURS D'INFRACTIONS | 43 al. 1 CP, 47 CP, 49 al. 1 CP</w:t>
      </w:r>
    </w:p>
    <w:p>
      <w:pPr>
        <w:pStyle w:val="Heading2"/>
      </w:pPr>
      <w:r>
        <w:t>Erwägungen</w:t>
      </w:r>
    </w:p>
    <w:p>
      <w:r>
        <w:rPr>
          <w:b/>
        </w:rPr>
        <w:t>E. 1</w:t>
      </w:r>
    </w:p>
    <w:p>
      <w:r>
        <w:t>I nterjeté dans les formes et délais légaux (art. 385 al. 1 et 399 CPP [Code de procédure pénale suisse du 5 octobre 2007 ; RS 312.0]), par une partie ayant qualité pour recourir (art. 381 al. 1 CPP) contre le jugement d’un tribunal de première instance qui a clos la procédure (art. 398 al. 1 CPP), l’appel du Ministère public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 Ministère public conteste la quotité de la peine privative de liberté infligée par le tribunal de première instance, qu’il considère trop clémente. Les juges de première instance n’auraient en effet pas suffisamment pris en compte la gravité des infractions retenues et le fait qu’elles soient en concours. Ils auraient également ignoré plusieurs éléments à charge, tels que la collaboration totalement inexistante du prévenu durant l’enquête et son mauvais comportement en détention. L’appelant soutient enfin que les premiers juges auraient dû prononcer une peine ferme correspondant à la moitié de la peine privative de liberté totale.</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3.2.2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3.2.3</w:t>
      </w:r>
    </w:p>
    <w:p>
      <w:r>
        <w:t>L’art. 42 al. 1 CP prévoit que le juge suspend en règle générale l'exécution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144 IV 277 consid. 3.1.1, JdT 2019 IV 11 ; ATF 134 IV 1 consid. 5.3.1 ; TF 6B_1082/2020 du 19 juillet 2021 consid. 3.1). Selon la jurisprudence,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6B_401/2021 du 20 décembre 2021 consid. 2.1). Le défaut de prise de conscience de la faute peut justifier un pronostic défavorable, car seul celui qui se repent de son acte mérite la confiance que l’on doit pouvoir accorder au condamné bénéficiant du sursis (TF 6B_1082/2020 du 19 juillet 2021 consid. 3.1 ; TF 6B_1176/2020 du 2 juin 2021 consid. 3.1 ; TF 6B_1446/2019 du 30 mars 2020 consid. 3.1).</w:t>
      </w:r>
    </w:p>
    <w:p>
      <w:r>
        <w:rPr>
          <w:b/>
        </w:rPr>
        <w:t>E. 3.3</w:t>
      </w:r>
    </w:p>
    <w:p>
      <w:r>
        <w:t>A titre liminaire, il convient de constater que le dispositif du jugement de première instance a été communiqué aux parties le 1 er décembre 2021 et que la motivation de ce jugement n’est intervenue que près de six semaines plus tard, soit le 13 janvier 2022, date à laquelle le prévenu aurait dû être libéré selon la peine fixée par le Tribunal correctionnel. Compte tenu du fait que le maintien en détention pour des motifs de sûreté d’I.________ avait été ordonné, ce délai n’est pas admissible et le jugement motivé aurait dû être notifié dès le dépôt de l’annonce d’appel, afin de tenir compte d’une durée proportionnée de la détention. Au moment de procéder à la fixation de la peine, les premiers juges ont considéré que, compte tenu du nombre d’infractions commises sur une durée relativement brève, la culpabilité du prévenu était lourde. Celui-ci avait agi par appât du gain, avait très peu collaboré au stade de l’enquête et s’était associé à des comparses pour commettre de nombreux cambriolages. En outre, les infractions étaient en concours. A décharge, il fallait tenir compte du fait qu’I.________ avait eu un parcours de vie chaotique, marqué par une enfance sans scolarité et un père absent, ce qui l’avait amené à quitter son pays natal à l’âge de 18 ans pour un périple à travers plusieurs pays européens. Le déracinement avait certainement eu un impact négatif sur son intégration. Il convenait également de prendre en considération le fait que le prévenu n’avait aucun antécédent judiciaire connu et qu’à l’audience, il avait admis en grande partie les faits qui lui étaient reprochés. Les juges de première instance ont rappelé que l’intéressé n’avait exercé aucune violence ou contrainte dans la commission des infractions qui lui étaient reprochées. I.________ s’était au surplus introduit dans des locaux vides, et cherchait des biens de consommation. Il avait été entraîné dans la délinquance par de mauvaises fréquentations et n’était pas le cerveau de la bande (jugement, pp. 18-19). Dans l’ensemble, les éléments à charge et à décharge retenus par les juges de première instance peuvent être confirmés. On précisera cependant que le casier judiciaire vierge de l’intéressé a un effet neutre sur l’appréciation de la culpabilité, et qu’en l’occurrence, plusieurs éléments de la situation personnelle d’I.________ sont défavorables. D’abord, son comportement en détention est effectivement mauvais (jugement, pp. 10-11 ; cf. point C.1c supra ) et sa collaboration durant l'enquête tout aussi mauvaise. Ainsi, le fait que le prévenu ait en définitive admis les infractions à l'audience de jugement – en indiquant d'ailleurs souvent ne pas se souvenir – ne saurait jouer un rôle trop atténuant dans la fixation de la peine, dès lors que tous les faits ont été établis sans aucune collaboration de ce dernier. Ensuite, le fait que le prévenu n'ait pas commis d'acte de violence durant la commission des infractions contre le patrimoine est sans portée, puisqu'il n'est pas sanctionné pour brigandage, mais bien pour vol. Force est par ailleurs de constater que le Tribunal correctionnel a omis de tenir compte des infractions à la LEI (Loi fédérale sur les étrangers et l’intégration du 16 décembre 2005 ; RS 142.20) commises par le prévenu (cf. point C.2.1 supra ) dans la fixation de la peine. Procédant à son propre examen, la Cour de céans retient que l’infraction de vol en bande et par métier, qui est la plus grave, doit être sanctionnée d'une peine privative de liberté de 15 mois. La série de vols consacre en effet quatre cambriolages qui ont procuré un butin de plusieurs milliers de francs au prévenu, et trois autres cas d’effractions échouées en raison d'alarmes déclenchées, d'arrestations ou de portes ayant résisté. A cela s'ajoute un vol à l'astuce particulièrement déplaisant, car commis au préjudice d'une victime vulnérable, née en 1937. Les autres infractions doivent toutes être sanctionnées d'une peine privative de liberté pour des motifs de prévention spéciale, dès lors que la série des délits montre un auteur qui s'installe dans la délinquance. Par l’effet du concours, il faut augmenter la peine de 2 mois pour les dommages à la propriété, les dégâts ayant été considérables dans l’un des cas (cf. consid. C.2.2 supra ). On ajoutera encore 2 mois pour les violations de domicile, le comportement du prévenu ayant été déplorable dans le cadre du cas relaté sous point C.2.8 ci-dessus, montrant une incapacité à respecter les règles de vie en foyer, comme en prison d'ailleurs. Il faut encore sanctionner les infractions LEI d'un mois supplémentaire. La peine privative de liberté d’ensemble doit en conséquence être fixée à 20 mois. En ce qui concerne le sursis, si le pronostic peut encore être considéré comme mitigé en raison de l'absence de casier judiciaire, il existe tout de même de nombreux éléments faisant craindre un risque de récidive élevé, à commencer par l'incapacité du prévenu à se conformer aux règles de la vie en société et à travailler. Assurément, la prise de conscience amorcée à l'audience de jugement de première instance doit se poursuivre. Il se justifie dès lors d’accorder un sursis partiel équivalent à la moitié de la peine privative de liberté prononcée, soit portant sur une durée de 10 mois, avec délai d’épreuve de 3 ans. Quant au montant de l’amende, fixé par les premiers juges à 500 fr. pour sanctionner une contravention à la LStup et deux contraventions à la LTV, il est adéquat – au vu en particulier de la faible quantité de stupéfiants consommée et de la situation personnelle du prévenu – et doit être confirmé.</w:t>
      </w:r>
    </w:p>
    <w:p>
      <w:r>
        <w:rPr>
          <w:b/>
        </w:rPr>
        <w:t>E. 3.4</w:t>
      </w:r>
    </w:p>
    <w:p>
      <w:r>
        <w:t>Conformément à l’art. 51 CP, la détention subie par l’appelant depuis le jugement de première instance sera déduite de la peine privative de liberté prononcée.</w:t>
      </w:r>
    </w:p>
    <w:p>
      <w:r>
        <w:rPr>
          <w:b/>
        </w:rPr>
        <w:t>E. 4</w:t>
      </w:r>
    </w:p>
    <w:p>
      <w:r>
        <w:t>Le maintien d’I.________ en détention pour des motifs de sûreté sera en outre ordonné pour garantir l’exécution de la peine prononcée, vu le risque de fuite qu’il présente (cf. art. 221 al. 1 let. a CPP), s’agissant d’un ressortissant [...] aux nombreux alias sans statut en Suisse.</w:t>
      </w:r>
    </w:p>
    <w:p>
      <w:r>
        <w:rPr>
          <w:b/>
        </w:rPr>
        <w:t>E. 5</w:t>
      </w:r>
    </w:p>
    <w:p>
      <w:r>
        <w:t>En définitive, l’appel doit être partiellement admis et le jugement contesté réformé dans le sens des considérants qui précèdent. Le défenseur d’office d’I.________ a produit une liste de ses opérations faisant état d’un temps consacré au dossier de 8,05 heures (P. 83). La durée estimée pour l’audience d’appel, de 2,5 heures, est excessive et doit être réduite au temps effectif de cette dernière, soit 30 minutes. En outre, il y a lieu de supprimer les 0,6 heures comptabilisées pour la lecture du jugement, dès lors que le dispositif a été adressé aux parties par écrit. Ainsi, c’est une indemnité de 1'216 fr. 80, correspondant à 5 heures et 30 minutes d’activité au tarif horaire d’avocat de 180 fr., par 990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19 fr. 80, une vacation, par 120 fr., et la TVA, par 87 fr., qui sera allouée à Me Françoise Trümpy. Vu l’issue de la cause, les frais de la procédure d’appel, par 3'376 fr. 80, constitués de l’émolument d’audience et de jugement, par 2'160 fr. (art. 21 al. 1 TFIP), et de l’indemnité due au défenseur d’office du prévenu, par 1'216 fr. 80, seront mis par moitié, soit par 1'688 fr. 40, à la charge d’I.________, le solde étant laissé à la charge de l’Etat (art. 428 al. 1, 1 re phrase, CPP). L’intimé ne sera toutefois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