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12 vom 21. September 2021</w:t>
      </w:r>
    </w:p>
    <w:p>
      <w:r>
        <w:t>VD Tribunal cantonal, 2021-09-21, FR</w:t>
      </w:r>
    </w:p>
    <w:p>
      <w:r>
        <w:rPr>
          <w:b/>
        </w:rPr>
        <w:t xml:space="preserve">Quelle: </w:t>
      </w:r>
      <w:r>
        <w:t>https://mcp.opencaselaw.ch/entscheid/vd_findinfo_Jug___2022___12</w:t>
      </w:r>
    </w:p>
    <w:p>
      <w:r>
        <w:t>FR: VD_FINDINFO Jug / 2022 / 12 du 21 septembre 2021</w:t>
      </w:r>
    </w:p>
    <w:p>
      <w:r>
        <w:t>IT: VD_FINDINFO Jug / 2022 / 12 del 21 settembre 2021</w:t>
      </w:r>
    </w:p>
    <w:p>
      <w:pPr>
        <w:pStyle w:val="Heading2"/>
      </w:pPr>
      <w:r>
        <w:t>Regeste</w:t>
      </w:r>
    </w:p>
    <w:p>
      <w:r>
        <w:t>ESCROQUERIE, ESCROQUERIE EN MATIÈRE DE PRESTATIONS, PERCEPTION ABUSIVE DE PRESTATIONS DE L'AIDE SOCIALE, EXPULSION{DROIT PÉNAL} | 146 al. 1 CP, 66a al. 1 let. e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conteste sa condamnation pour escroquerie. Invoquant une violation de l’art. 146 CP, il fait valoir que son comportement n’aurait pas été astucieux et qu’il aurait agi en étant dépourvu d’intention délictueuse. Il se prévaut également, pour cette infraction, de la présomption d’innocence. Il y a lieu d’examiner d’abord ce dernier moyen, qui relève de l’examen des faits.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rPr>
          <w:b/>
        </w:rPr>
        <w:t>E. 3.2.2</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Jeanneret/ Kuhn/Perrier Depeursinge [éd.], Code de procédure pénale suisse, Commentaire romand, 2 e éd., Bâle 2019, n. 34 ad art. 10 CPP; Kistler Vianin, op. cit., nn. 19-20 ad art. 398 CPP et les références).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6B_1035/2020 du 20 mai 2021 consid. 1.1 et les réf. citées; TF 6B_621/2020 du 9 décembre 2020 consid. 1.1).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w:t>
      </w:r>
    </w:p>
    <w:p>
      <w:r>
        <w:rPr>
          <w:b/>
        </w:rPr>
        <w:t>E. 3.3.1</w:t>
      </w:r>
    </w:p>
    <w:p>
      <w:r>
        <w:t>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3.3.2</w:t>
      </w:r>
    </w:p>
    <w:p>
      <w:r>
        <w:t>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JdT 2010 I 676).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TF 6B_613/2020 du 17 septembre 2020 consid. 1.2.1).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références citées). L'escroquerie peut aussi être commise par un comportement passif, contraire à une obligation d'agir (commission par omission; art. 11 al. 1 CP). L'auteur doit alors se trouver en position de garant et assumer ainsi un devoir juridique qualifié d'agir et de renseigner le lésé (ATF 140 IV 206 consid. 6.3.1.2; ATF 140 IV 11 consid. 2.3.2; TF 6B­_221/2020 précité consid. 1.1.2). Un tel devoir peut notamment découler de la loi ou d'un contrat (art. 11 al. 2 let. a et b CP), voire d'un rapport de confiance spécial (ATF 140 IV 206 consid. 6.3.1.2; ATF 140 IV 11 consid. 2.3.2; TF 6B­_221/2020 précité consid. 1.1.2). Un simple devoir légal ou contractuel ne suffit toutefois pas à fonder une position de garant, pas plus qu'un simple devoir général découlant du principe général de la bonne foi (art. 2 CC; ATF 140 IV 206 consid. 6.3.1.4; ATF 140 IV 11 consid. 2.4.2 et 2.4.5). Il faut au contraire que l'auteur se soit trouvé dans une situation qui l'obligeait à ce point à protéger les intérêts du lésé que son omission puisse être assimilée à une tromperie résultant d'un comportement actif (cf. art. 11 al. 3 CP; ATF 140 IV 11 consid. 2.4.2; TF 6B_221/2020 précité consid. 1.1.2).</w:t>
      </w:r>
    </w:p>
    <w:p>
      <w:r>
        <w:rPr>
          <w:b/>
        </w:rPr>
        <w:t>E. 4</w:t>
      </w:r>
    </w:p>
    <w:p>
      <w:r>
        <w:t>C’est en vain que l’appelant invoque sa méconnaissance du français pour soutenir qu’il n’a pas compris ce que l’EVAM attendait de lui. En effet, il est évident qu’il a compris qu’il recevait une aide sociale pour son insuffisance de revenus lui permettant de vivre, en d’autres termes que cette assistance était soumise à une limite de revenus. Partant, il ne pouvait pas lui échapper qu’en travaillant sans annoncer ses revenus, il percevait indûment à la fois une aide et un salaire, donc qu’il réalisait un gain illicite en cumulant l’une et l’autre. Il est absurde de soutenir que c’était à son employeur qu’incombait l’obligation d’annonce à l’égard de l’EVAM. L’appelant est d’autant moins fondé à se prévaloir d’une telle ignorance que cela fait plus de vingt ans qu’il réside en Suisse, qu’il disposait des services d’un assistant social gestionnaire de son dossier, qu’il a presque toujours bénéficié de l’aide sociale et qu’il a déjà été condamné pour escroquerie, de surcroît à raison d’actes perpétrés durant une période particulièrement prolongée, soit du 6 septembre 2015 au 11 janvier 2017. Le moyen déduit par l’appelant de sa bonne foi est d’autant moins crédible qu’il avait, de son propre aveu, soutenu lors d’une précédente procédure également que c’était à son employeur qu’incombait l’obligation d’annonce. Or, comme l’a relevé la représentante de l’EVAM aux débats de première instance, le prévenu avait déjà, en 2000, 2001, 2003 et 2004, exercé des activités temporaires sans les annoncer (jugement, p. 5-6). Le rapprochement de ces éléments commande de considérer qu’en 2019, comme auparavant déjà, le prévenu savait parfaitement qu’il avait l’obligation d’annoncer ses revenus aux services sociaux qui le prenaient en charge. On ne discerne donc aucune violation de la présomption d’innocence dans le fait d’écarter la thèse de la défense selon laquelle le prévenu n’aurait pas compris ce qu’il remplissait lorsque, mois après mois, il cochait – mensongèrement – sur le formulaire idoine la case selon laquelle il ne réalisait pas de revenus.</w:t>
      </w:r>
    </w:p>
    <w:p>
      <w:r>
        <w:rPr>
          <w:b/>
        </w:rPr>
        <w:t>E. 4.3</w:t>
      </w:r>
    </w:p>
    <w:p>
      <w:r>
        <w:t>p. 24; TF 6B_397/2020 du 24 juillet 2020 précité consid. 6.1).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w:t>
      </w:r>
    </w:p>
    <w:p>
      <w:r>
        <w:rPr>
          <w:b/>
        </w:rPr>
        <w:t>E. 5</w:t>
      </w:r>
    </w:p>
    <w:p>
      <w:r>
        <w:t>S’agissant des éléments constitutifs objectifs de l’infraction d’escroquerie, il est de jurisprudence constante qu’il n’appartient pas aux services sociaux d’investiguer systématiquement la situation financière d’un bénéficiaire de prestations, compte tenu de l’ampleur des informations à gérer (cf. la jurisprudence résumée au considérant 3.3.2 ci-dessus). Dans le cas particulier, il faut constater que, durant près de la moitié de l’année 2019, l’appelant a, sans discontinuer, réalisé des revenus sans les annoncer et qu’il a rempli, durant cette période, deux formulaires de demande de prestations certifiant qu’il ne réalisait aucun revenu. Ce n’est que fortuitement que l’EVAM a appris, par l’épouse de l’appelant, que ce dernier avait eu un accident du travail, donc qu’il exerçait une activité lucrative et qu’il percevait du reste des prestations en espèces de la SUVA en relation avec cet accident. La vérification des informations données ne pouvait donc pas être raisonnablement exigée de l’EVAM. De même, contrairement à ce que fait plaider l’appelant, on ne saurait croire à la naïveté, ni, partant, à la bonne foi, d’un auteur au bénéfice d’une aussi longue expérience de l’aide sociale. Comme déjà relevé, l’intéressé ne pouvait que connaître l’obligation d’annonce qui lui incombait. La dissimulation de revenus par le prévenu était donc bien astucieuse au sens légal. Induit en erreur de la sorte, l’EVAM a été amené à verser des prestations indues, soit à accomplir des actes de disposition préjudiciables à ses intérêts. Les éléments constitutifs objectifs et subjectifs de l’escroquerie sont donc réalisés.</w:t>
      </w:r>
    </w:p>
    <w:p>
      <w:r>
        <w:rPr>
          <w:b/>
        </w:rPr>
        <w:t>E. 6</w:t>
      </w:r>
    </w:p>
    <w:p>
      <w:r>
        <w:t>L’appelant conclut en outre à ce que le sursis assortissant la peine pécuniaire de 90 jours-amende prononcée le 20 février 2018 par le Ministère public de l’arrondissement du Nord vaudois ne soit pas révoqué. A défaut de tout moyen formulé par l’appelant à l’appui de cette conclusion, force est d’admettre que celle-ci présuppose l’admission de la conclusion portant sur sa libération des fins de l’action pénale. Quoi qu’il en soit, le moyen doit être rejeté. L’auteur ayant agi durant le délai d’épreuve assortissant la peine précédente dans les circonstances déjà décrites, il suffit dès lors de constater que les conditions de la révocation du sursis (art. 46 al. 1, 1 re phrase, CP) sont réunies. De même, c’est à bon droit que le Tribunal de police a prononcé une peine d’ensemble (art. 46 al. 1, 2 e phrase, CP). Il suffit, à cet égard, de renvoyer aux motifs du premier juge (art. 82 al. 4 CPP). Il en va de même de la quotité de la peine, non contestée en elle-même.</w:t>
      </w:r>
    </w:p>
    <w:p>
      <w:r>
        <w:rPr>
          <w:b/>
        </w:rPr>
        <w:t>E. 6.1</w:t>
      </w:r>
    </w:p>
    <w:p>
      <w:r>
        <w:t>p. 12;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ATF 135 I 143 consid. 1.3.2 p. 146; TF 6B_825/2020 du 28 octobre 2020 précité, ibid.; TF 6B_255/2020 du 6 mai 2020).</w:t>
      </w:r>
    </w:p>
    <w:p>
      <w:r>
        <w:rPr>
          <w:b/>
        </w:rPr>
        <w:t>E. 7.1.1</w:t>
      </w:r>
    </w:p>
    <w:p>
      <w:r>
        <w:t>Selon l'art. 66a al. 1 let. e CP, le juge expulse de Suisse l'étranger qui est condamné, notamment, pour escroquerie (art. 146 al. 1 CP) à une assurance sociale ou à l’aide sociale,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Fiolka/Vetterli, Die Landesverweisung nach Art. 66a StGB als strafrechtliche Sanktion, in : Plädoyer 5/2016 p. 84). Peu importe également que le degré de réalisation des infractions soit demeuré limité à la tentative. En effet, l’expulsion selon l’art. 66a CP se justifie également en cas d’infraction seulement tentée (ATF 144 IV 168), comme tel est le cas en l’espèce du vol et de la violation de domicile.</w:t>
      </w:r>
    </w:p>
    <w:p>
      <w:r>
        <w:rPr>
          <w:b/>
        </w:rPr>
        <w:t>E. 7.1.2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7.1.3</w:t>
      </w:r>
    </w:p>
    <w:p>
      <w:r>
        <w:t>La clause de rigueur de l'art. 66a al. 2 CP permet de garantir le principe de la proportionnalité (art. 5 al. 2 Cst.). Elle doit être appliquée de manière restrictive (ATF 146 IV 105 consid. 3.4.2 p. 108; ATF 144 IV 332 consid. 3.3.1 p. 340). Selon la jurisprudence du Tribunal fédéral (ATF 146 IV 105 consid. 3.4 p. 108 ss; ATF 144 IV 332 consid. 3.3.2 p. 340 s.), il convient de s'inspirer des critères énoncés à l'art. 31 de l'ordonnance du 24 octobre 2007 relative à l'admission, au séjour et à l'exercice d'une activité lucrative (OASA;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6B_825/2020 du 28 octobre 2020 consid. 4.1; TF 6B_397/2020 du 24 juillet 2020 consid. 6.1; TF 6B_344/2020 du 9 juillet 2020 consid. 3.1; TF 6B_286/2020 du 1 er juillet 2020 consid. 1.3.1; TF 6B_704/2019 du 28 juin 2019 consid. 1.3 et les arrêts cités). Selon la jurisprudence, pour se prévaloir du droit au respect de sa vie privée au sens de l'art.</w:t>
      </w:r>
    </w:p>
    <w:p>
      <w:r>
        <w:rPr>
          <w:b/>
        </w:rPr>
        <w:t>E. 7.2</w:t>
      </w:r>
    </w:p>
    <w:p>
      <w:r>
        <w:t>S’agissant d’un cas d’expulsion obligatoire (art. 66a al. 1 let. e CP, précité), seule une intégration complète et réussie en Suisse pourrait commander que l’intérêt public évident à expulser le prévenu cède le pas à ses intérêts privés à rester dans notre pays. Or, l’intégration du prévenu est mauvaise. En effet, vivant en Suisse dès 1999, il ne parle pas le français, à telle enseigne qu’il a dû être assisté d’un interprète aux audiences de première instance et d’appel. En outre, il a longtemps émargé à l’aide sociale et n’a travaillé que de manière sporadique. De surcroît, il a déjà été condamné pour escroquerie. Ses enfants sont majeurs et indépendants financièrement, de sorte qu’ils n’ont plus besoin de lui. Il pourra revoir sa famille au Kosovo, où les soins résultant de son accident du travail pourront lui être prodigués, à défaut de tout élément au dossier démontrant que ses séquelles nécessiteraient des thérapies spécifiques. Enfin, les moyens de télécommunication modernes lui permettront de demeurer en contact continu avec les siens demeurés en Suisse (TF 6B_1174/2020 du 23 juin 2021; cf., à cet égard également, TF 6B_627/2021 du 27 août 2021 consid. 4.3.3). Les conditions de la clause de rigueur de l'art. 66a al. 2 CP ne sont donc pas réunies. Pour le reste, le délai de l’expulsion a été fixé au minimum légal de cinq ans.</w:t>
      </w:r>
    </w:p>
    <w:p>
      <w:r>
        <w:rPr>
          <w:b/>
        </w:rPr>
        <w:t>E. 8</w:t>
      </w:r>
    </w:p>
    <w:p>
      <w:r>
        <w:t>Vu l’issue de l’appel, l’émolument d’appel, par 2'050 fr. (art. 21 al. 1 et 2 TFIP [Tarif des frais de procédure et indemnités en matière pénale du 28 septembre 2010; RSV 312.03.1]) sera mis à la charge de l’appelant, qui succombe (art. 428 al. 1, 1 re phrase, CPP). Les frais d’appel comprennent, outre l’émolument, l’indemnité en faveur du défenseur d’office du prévenu (art. 422 al. 1 et al. 2 let. a CPP). L’indemnité de défense d’office doit être arrêtée sur la base de la liste d’opérations produite (P. 30), à cette réserve près que l’audience d’appel a duré une heure de moins que le temps annoncé. Il y a ainsi lieu de retenir une durée d’activité d’avocate de onze heures et 25 minutes, y compris l’audience d’appel, ce qui correspond à des honoraires de 2'055 francs. Aux honoraires il convient d’ajouter des débours forfaitaires à concurrence de 2 % (art. 3 bis al. 1 RAJ [Règlement du 7 décembre 2010 sur l'assistance judiciaire en matière civile; BLV 211.02.3], applicable par renvoi de l’art. 26b TFIP), ainsi qu’une vacation d’un montant forfaitaire de 120 fr. pour l’audience d’appel, plus la TVA sur le tout. L’indemnité s’élève donc à 2'386 fr. 75, débours et TVA compris. L’appelant sera tenu de rembourser l’indemnité de défense d’office prévue ci-dessus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