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119 vom 17. September 2021</w:t>
      </w:r>
    </w:p>
    <w:p>
      <w:r>
        <w:t>VD Tribunal cantonal, 2021-09-17, FR</w:t>
      </w:r>
    </w:p>
    <w:p>
      <w:r>
        <w:rPr>
          <w:b/>
        </w:rPr>
        <w:t xml:space="preserve">Quelle: </w:t>
      </w:r>
      <w:r>
        <w:t>https://mcp.opencaselaw.ch/entscheid/vd_findinfo_Jug___2022___119</w:t>
      </w:r>
    </w:p>
    <w:p>
      <w:r>
        <w:t>FR: VD_FINDINFO Jug / 2022 / 119 du 17 septembre 2021</w:t>
      </w:r>
    </w:p>
    <w:p>
      <w:r>
        <w:t>IT: VD_FINDINFO Jug / 2022 / 119 del 17 settembre 2021</w:t>
      </w:r>
    </w:p>
    <w:p>
      <w:pPr>
        <w:pStyle w:val="Heading2"/>
      </w:pPr>
      <w:r>
        <w:t>Regeste</w:t>
      </w:r>
    </w:p>
    <w:p>
      <w:r>
        <w:t>ARME{OBJET}, FIXATION DE LA PEINE, APPRÉCIATION DES PREUVES, LÉSION CORPORELLE SIMPLE, IN DUBIO PRO REO, COAUTEUR{DROIT PÉNAL} | 12 al. 2 CP, 123 ch. 2 CP, 47 CP, 10 CPP</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de N.________, Q.________ et du Ministère public sont recevables.</w:t>
      </w:r>
    </w:p>
    <w:p>
      <w:r>
        <w:rPr>
          <w:b/>
        </w:rPr>
        <w:t>E. 1.1</w:t>
      </w:r>
    </w:p>
    <w:p>
      <w:r>
        <w:t>;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II. Appel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Il convient d'examiner en premier lieu l'appel du Ministère public qui demande la condamnation de Q.________ pour une infraction plus grave, soit une tentative de lésions corporelles graves. Le parquet soutient qu’en frappant la victime par vengeance en direction de son abdomen au moyen d'un objet pointu et coupant, le prévenu avait manifestement accepté l'éventualité de causer des lésions graves à celle-ci. Ce résultat ne s’était pas produit pour l'unique motif que la victime était parvenue à se protéger l'abdomen en plaçant son avant-bras sur cette partie du corps.</w:t>
      </w:r>
    </w:p>
    <w:p>
      <w:r>
        <w:rPr>
          <w:b/>
        </w:rPr>
        <w:t>E. 3.2.1</w:t>
      </w:r>
    </w:p>
    <w:p>
      <w:r>
        <w:t>Aux termes de l’art. 122 CP, se rend coupable de lésions corporelles graves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 Selon l’art. 123 ch. 2 CP, se rend coupable de lésions corporelles simples qualifiées celui qui, intentionnellement, aura fait subir à une personne une autre atteinte à l’intégrité corporelle ou à la santé, en faisant usage d’une arme ou d’un objet dangereux notamment.</w:t>
      </w:r>
    </w:p>
    <w:p>
      <w:r>
        <w:rPr>
          <w:b/>
        </w:rPr>
        <w:t>E. 3.2.2</w:t>
      </w:r>
    </w:p>
    <w:p>
      <w:r>
        <w:t>Selon l'art. 12 al. 2 CP, agit intentionnellement quiconque commet un crime ou un délit avec conscience et volonté. L'auteur agit par dol éventuel lorsqu’il envisage le résultat dommageable, même s'il ne le souhaite pas, mais agit néanmoins parce qu'il s'en accommode pour le cas où il se produirait (art. 12 al. 2 2 e phrase CP ; ATF 137 IV 1 consid. 4.2.3).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138 V 74 consid. 8.4.1 ; ATF 133 IV 222 consid. 5.3 ; ATF 119 IV 1 consid. 5a ; TF 6B_991/2020 du 27 août 2021 consid. 1.2.2 ; TF 6B_1279/2020 du 30 juin 2021 consid. 2.1.2 et les références citées). Plus la violation du devoir de prudence est grande, plus sera fondée la conclusion que l'auteur, malgré d'éventuelles dénégations, a accepté l'éventualité de la réalisation du résultat dommageable (ATF 138 V 74 consid. 8.4.1 ; ATF 135 IV 12 consid. 2.3.3 ; TF 6B_1385/2019 du 27 février 2020 consid. 2.3.1).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6B_1385/2019 du 27 février 2020 consid. 2.3.1). Il ne faut pas se fonder sur les blessures effectivement subies par la victime, mais sur la dangerosité du comportement du prévenu pour évaluer la probabilité de la réalisation du risque (TF 6B_1087/2013 du 22 octobre 2014 consid. 2.3). Le Tribunal fédéral a ainsi approuvé la qualification de tentative de lésions corporelles graves dans des cas de violentes agressions au couteau n'ayant causé que des lésions corporelles simples (TF 6B_1297/2017 du 26 juillet 2018 et 6B_755/2019 du 28 août 2019). Plus récemment, il l’a également admise dans une affaire où plusieurs coups avaient été portés avec la lame d’un ciseau (TF 6B_627/2021 du 27 août 2021), dans un cas où l’auteur s’était précipité sur sa victime la lame d’un couteau pointée en avant (TF 6B_991/2020 du 27 août 2021), dans un cas où l’auteur s’était emparé d'un débris de verre qu’il avait brandi en direction de la gorge d’un policier et était revenu à la charge après avoir été repoussé une première fois (TF 6B_1151/2020 du 8 avril 2021) ou encore dans une affaire où l’auteur avait porté au moins quatre violents coups de poing dans le visage de sa victime et un coup de pied (TF 6B_139/2020 du 1 er mai 2020 consid. 2.3).</w:t>
      </w:r>
    </w:p>
    <w:p>
      <w:r>
        <w:rPr>
          <w:b/>
        </w:rPr>
        <w:t>E. 3.2.3</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 TF 6B_1431/2020 du 8 juillet 2021 consid. 3.2). L'équivalence des deux formes de dol – direct et éventuel – s'applique également à la tentative (ATF 122 IV 246 consid. 3a ; TF 6B_1146/2018 du 8 novembre 2019 consid. 4.2).</w:t>
      </w:r>
    </w:p>
    <w:p>
      <w:r>
        <w:rPr>
          <w:b/>
        </w:rPr>
        <w:t>E. 3.3</w:t>
      </w:r>
    </w:p>
    <w:p>
      <w:r>
        <w:t>En l’espèce, l'objet dont s’est servi Q.________ pour agresser le plaignant est une pince à charbon utilisée pour fumer la chicha. Il s'agit incontestablement d'un objet dangereux au sens de l'art. 123 ch. 2 CP. Il n'a toutefois pas vocation à causer des blessures graves comme un couteau comportant une lame acérée. Par ailleurs, seul un coup a été porté. Si la victime doit assurément à la chance le fait d'avoir été protégée par son avant-bras, on ne distingue toutefois pas chez le prévenu l'acharnement nécessaire pour retenir un dol, même éventuel, de lésions graves. Les cas de tentative de lésions corporelles graves retenus par le Tribunal fédéral ci-dessus, lorsqu’ils ne font pas mention de l’usage d’un couteau, dénotent tous un certain acharnement à l’encontre de la victime qui fait défaut ici. C’est donc à juste titre que les premiers juges ont retenu la qualification de lésions corporelles simples qualifiées. On ne se trouve ainsi pas dans un cas d'expulsion obligatoire, ce qui rend sans objet la seconde conclusion du Ministère public. III. Appel de Q.________</w:t>
      </w:r>
    </w:p>
    <w:p>
      <w:r>
        <w:rPr>
          <w:b/>
        </w:rPr>
        <w:t>E. 4.1</w:t>
      </w:r>
    </w:p>
    <w:p>
      <w:r>
        <w:t>Q.________ demande une réduction de la peine qui lui a été infligée par les premiers juges, en faisant valoir que ses antécédents ne seraient pas significatifs, qu'il serait plutôt l'auteur « d'un accident que d'une agression » , qu'il assumerait ses actes et qu’en comparaison à d'autres affaires, il aurait été sanctionné trop sévèrement. Aux débats, par l’intermédiaire de son nouveau défenseur, le prévenu est revenu en premier lieu sur les circonstances de l’altercation au cours de laquelle F.________ avait fait usage d’un spray au poivre contre lui. Le prévenu a estimé qu’il avait été victime d’une agression et expliqué que cela avait motivé sa décision de retrouver ses assaillants. S’agissant de la blessure qu’il avait infligée au plaignant, Q.________ a plaidé la thèse d’un « malheureux accident », d’une « éraflure involontaire », en relevant que la profondeur de la lésion n’avait pas été établie. Il a ensuite affirmé qu’O.________ ne serait pas crédible et que ses déclarations seraient contradictoires, avant d’ajouter que le plaignant et le témoin G.________ se seraient concertés pour affirmer faussement que le prévenu avait utilisé un couteau. Enfin, le prévenu a soutenu que l’instruction n’aurait été instruite qu’à sa charge, la thèse d’un accident n’ayant notamment pas été examinée, et a fait valoir que son précédent défenseur aurait fait preuve de carences fautives.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4.3</w:t>
      </w:r>
    </w:p>
    <w:p>
      <w:r>
        <w:t>La présentation de sa culpabilité par l'appelant est très éloignée de celle de l'instruction et du dossier. D’une part, l'appelant n'assume aucunement, comme relevé par les premiers juges, sa réelle responsabilité dans l'agression (et non l'accident). Il est bien l'auteur du coup porté intentionnellement à la victime pour la blesser et non pas l'auteur d'un geste fortuit qui aurait blessé accidentellement la victime. Le plaignant a expliqué à la Cour que la pince s’était enfoncée dans la chaire de son bras, jusqu’à lui toucher l’os. Cette lésion a nécessité la pose de deux points de suture. Pour infliger une telle blessure avec une pince à chicha, l’usage de la force était de toute évidence nécessaire et le geste intentionnel. Les mesures d’instruction requises par l’appelant, qui n’ont pas été réitérées à l’audience d’appel, n’auraient pas permis de modifier cette appréciation, étant au demeurant rappelé que l’appel de Q.________ porte sur la fixation de sa peine et non sur le principe de sa condamnation et l’état de fait retenu par les premiers juges. D’autre part, la propension de l'appelant à la violence est inquiétante. Il est impliqué dans de nombreux incidents comme le révèlent les extraits du Journal des événements de police au dossier (P. 16 à 19) et n'est même pas capable de se maîtriser en prison. La dernière sanction disciplinaire prononcée contre lui le 29 octobre 2021 est révélatrice : il s'est bagarré avec un autre détenu lors d’une promenade, alors même qu’il avait interjeté un appel pour demander une réduction de peine et que les premiers juges avaient tenu compte de son mauvais comportement en détention pour fixer celle-ci. Devant les juges de céans, le prévenu s’est justifié en expliquant qu’il avait été provoqué par son codétenu. Manifestement, la capacité du prévenu à remettre en question sa violence et son impulsivité est très limitée, pour ne pas dire inexistante. Sa tendance à fournir des justifications a par ailleurs été mise en évidence par les experts, qui ont souligné les traits impulsifs et dyssociaux de la personnalité du prévenu, lequel faisait preuve d’un certain mépris des règles et des normes. Dans le registre de l'infraction à l'art. 123 CP, la culpabilité est lourde, le prévenu ayant agi par vengeance pour des motifs futiles et en agressant arbitrairement une personne qui n'avait rien à voir avec la première altercation. A décharge, il convient de tenir compte de la situation personnelle du prévenu, ainsi que des regrets qu’il a exprimés et des excuses qu’il a adressées au plaignant. Compte tenu de l’ensemble de ces éléments, la peine privative de liberté de 18 mois prononcée par les premiers juges apparaît adéquate et doit être confirmée. L'appelant prétend également, dans sa déclaration d'appel complémentaire, être digne du sursis, mais, pour les motifs évoqués ci-dessus, il est évident que ce n'est pas le cas. Le risque de récidive a en outre été qualifié de moyen par les experts. La prise de conscience du prévenu est très limitée et ses antécédents ne sont pas anodins, s'agissant d'une condamnation pour délit à la loi fédérale sur les armes. Par ailleurs, dans le cadre des procédures pénales qui ont abouti à ses deux précédentes condamnations, le prévenu avait été incarcéré préventivement à deux reprises, la première fois durant un jour, la seconde pendant deux jours. Dans ces circonstances, une peine ferme s’impose. Il convient en dernier lieu de souligner que si les conditions d’une expulsion obligatoire ne sont pas réunies, la question d’une expulsion facultative au sens de l’art. 66a bis CP pourrait en revanche se poser, compte tenu de la propension du prévenu à se montrer violent et de sa faible capacité d’introspection. La Cour d’appel pénale y renonce, mais met sérieusement en garde le prévenu qu’en cas de récidive, il pourrait s’exposer à une expulsion du territoire suisse pour plusieurs années.</w:t>
      </w:r>
    </w:p>
    <w:p>
      <w:r>
        <w:rPr>
          <w:b/>
        </w:rPr>
        <w:t>E. 5</w:t>
      </w:r>
    </w:p>
    <w:p>
      <w:r>
        <w:t>Conformément à l’art. 51 CP, la détention subie avant jugement sera déduite de la peine privative de liberté prononcée. La déduction de la peine prononcée de trois jours à titre de réparation du tort moral pour les cinq jours passés dans des conditions illicites de détention en zone carcérale, qui n’est au demeurant pas contestée, est adéquate et doit être confirmée. Pour garantir l’exécution de la peine, le maintien de Q.________ en détention à titre de sûreté doit être ordonné.</w:t>
      </w:r>
    </w:p>
    <w:p>
      <w:r>
        <w:rPr>
          <w:b/>
        </w:rPr>
        <w:t>E. 6</w:t>
      </w:r>
    </w:p>
    <w:p>
      <w:r>
        <w:t>Q.________ conclut à l’octroi d’une indemnité au sens de l’art. 429 al. 1 let. c CPP et à ce que les frais de procédure soient laissés à la charge de l’Etat. Compte tenu de sa condamnation et de la confirmation de la quotité de sa peine privative de liberté, ces conclusions doivent être rejetées. IV. Appel de N.________</w:t>
      </w:r>
    </w:p>
    <w:p>
      <w:r>
        <w:rPr>
          <w:b/>
        </w:rPr>
        <w:t>E. 7.1</w:t>
      </w:r>
    </w:p>
    <w:p>
      <w:r>
        <w:t>Invoquant une constatation erronée des faits, une violation de la présomption d'innocence ainsi qu’une fausse application de la notion de coaction, N.________ conteste sa condamnation pour lésions corporelles simples qualifiées. Il soutient qu'il n'aurait pas échafaudé de plan avec son coprévenu et qu'il n'aurait pas participé à la commission de l'infraction retenue contre celui-ci. Il affirme en particulier que ce serait Q.________ qui lui aurait remis les objets qu’il avait sur lui lors de l’agression d’O.________. Il soutient également qu’il aurait arrêté de courir, rapidement après l’entrée du préau, après avoir constaté qu’il n’arrivait pas à rattraper Q.________. Enfin, il affirme que la crédibilité des déclarations du témoin G.________ devrait être mise en doute dès lors qu’il ferait partie du groupe « adverse », qu’il se serait contredit, qu’il aurait discuté des événements avant sa première audition et qu’il aurait déclaré que Q.________ était muni d’un couteau alors que l’enquête avait établi qu’il s’agissait d’une pince à chicha.</w:t>
      </w:r>
    </w:p>
    <w:p>
      <w:r>
        <w:rPr>
          <w:b/>
        </w:rPr>
        <w:t>E. 7.2.1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7.2.2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TF 6B_627/2021 du 27 août 2021 consid. 2.3).</w:t>
      </w:r>
    </w:p>
    <w:p>
      <w:r>
        <w:rPr>
          <w:b/>
        </w:rPr>
        <w:t>E. 7.3</w:t>
      </w:r>
    </w:p>
    <w:p>
      <w:r>
        <w:t>La participation de l'appelant, en qualité de coauteur, à l'infraction de lésions corporelles simples qualifiées commises par son comparse est indéniable. Le prévenu a premièrement activement participé à la décision de se rendre à l’école [...], puisque c’est lui qui les a amenés en voiture jusque dans le parking de cet établissement. Q.________ a du reste affirmé qu’il avait demandé à N.________ s’il était « chaud » pour y aller et que celui-ci avait acquiescé tout de suite (PV aud. 4, p. 4). N.________ s’est par ailleurs contredit lorsqu’il a déclaré aux premiers juges qu’il ne pensait pas qu’il pouvait se passer « quelque chose » (jugement entrepris, p. 8), alors qu’il a admis, lors de sa première audition, qu’il se doutait que son ami « allait frapper les jeunes » (PV aud. 3, p. 6), puis indiqué au procureur qu’il savait que celui-ci était « chaud » (PV aud. 6, l. 99), ce qui ne l’a manifestement pas empêché de le conduire à l’école [...]. N.________ n’est pas crédible lorsqu’il affirme que son intention n’avait été que de « discuter », alors qu’il était muni d’objets dangereux (PV aud. 6, l. 3). Les témoignages d’O.________ et de G.________ démontrent que N.________ n’a pas arrêté de courir au début de la cour, mais qu’il a suivi Q.________ dans sa course en se tenant à quelques mètres derrière lui (« les prévenus ont couru après O.________ », jugement attaqué, pp. 12-13). Cela ressort également des déclarations qu’a faites Q.________ devant le Tribunal correctionnel (« N.________ est resté un mètre environ derrière moi. Si je tournais la tête, je le voyais », jugement entrepris, p. 23). N.________ a du reste lui-même reconnu devant le procureur avoir « couru après » les jeunes, avant de nuancer en affirmant qu’il n’aurait fait que « bêtement » suivre son ami (PV aud. 6, l. 83-85). A ces éléments s’ajoute enfin que N.________ avait été atteint physiquement lors de l’altercation qui avait précédé et que, selon le témoignage de l’une des jeunes filles, il était, lui aussi, énervé lorsqu’elles les ont rejoints à la sortie de l’hôpital (PV aud. 9, R. 10). S’agissant des reproches formulés à l’égard des déclarations de G.________, il y a lieu de relever que si ce témoin a effectivement indiqué avoir parlé des événements avec d’autres personnes, il n’indique pas qu’il l’a fait avec le plaignant. Celui-ci a par ailleurs contesté avoir eu une telle discussion. Quant au fait que ces deux personnes aient mentionné que Q.________ tenait un couteau au lieu d’une pince à charbon, la Cour constate, à l’instar des premiers juges, que cet objet, tant par sa forme que par son aspect métallique, peut aisément avoir été pris pour une lame de couteau, d’autant plus dans la confusion des événements. Compte tenu de l’ensemble de ces éléments, les premiers juges pouvaient, sans violer la présomption d’innocence, retenir que N.________ avait pris part à la décision de se rendre aux [...] pour se venger de l'affront subi précédemment et qu’il s’était muni à cette fin d'une clé à écrou, avant de se lancer à la poursuite de la victime avec Q.________. Par ce comportement, l'appelant a conforté, de manière décisive, son comparse dans la volonté d'infliger les blessures qu'impliquait leur expédition punitive, en lui donnant la supériorité numérique sur la victime. Partant, la condamnation pour lésions corporelles simples qualifiées de N.________ doit être confirmée également. A cet égard, il convient de relever que le dispositif du jugement du Tribunal correctionnel est entaché d'une erreur manifeste dans la mesure où il constate au chiffre VIII que N.________ s’est rendu coupable de lésions corporelles simples, alors qu’il s’agit de lésions corporelles simples qualifiées comme le mentionne clairement le tribunal dans ses considérants en page 44 ainsi que dans les articles qu’il a indiqués en tête de son dispositif. Or, le dispositif communiqué par la Cour de céans après l’audience d’appel reproduit cette erreur. Il sera donc rectifié d’office (art. 83 al. 1 CPP).</w:t>
      </w:r>
    </w:p>
    <w:p>
      <w:r>
        <w:rPr>
          <w:b/>
        </w:rPr>
        <w:t>E. 8</w:t>
      </w:r>
    </w:p>
    <w:p>
      <w:r>
        <w:t>N.________, qui conclut à son acquittement, ne conteste pas la peine en tant que telle. Procédant à son examen d’office, la Cour de céans considère que la peine privative de liberté prononcée par les premiers juges pour sanctionner le comportement de l’appelant a été fixée en application des critères légaux et conformément à la culpabilité et à la situation personnelle de N.________. Il peut dès lors être renvoyé à cet égard à la motivation du jugement attaqué (p. 46 ; art. 82 al. 4 CPP), qui est claire et convaincante. La peine privative de liberté de 6 mois, avec sursis pendant deux ans, adéquate tant dans sa forme que dans sa quotité, doit donc être confirmée.</w:t>
      </w:r>
    </w:p>
    <w:p>
      <w:r>
        <w:rPr>
          <w:b/>
        </w:rPr>
        <w:t>E. 9</w:t>
      </w:r>
    </w:p>
    <w:p>
      <w:r>
        <w:t>N.________ réclame une indemnité de 6'600 fr. pour les 33 jours de détention avant jugement qu’il a subis. Compte tenu de sa condamnation, cette conclusion doit être rejetée. Il en va de même s’agissant de sa conclusion tendant à ce que la part des frais de procédure mise à sa charge par les premiers juges soit laissée à la charge de l’Etat. V. Conclusion, frais et indemnités</w:t>
      </w:r>
    </w:p>
    <w:p>
      <w:r>
        <w:rPr>
          <w:b/>
        </w:rPr>
        <w:t>E. 10</w:t>
      </w:r>
    </w:p>
    <w:p>
      <w:r>
        <w:t>En définitive, les appels de Q.________, N.________ et du Ministère public doivent être rejetés et le jugement entrepris intégralement confirmé. Il n’y a pas lieu de s’écarter de la liste des opérations produite par Me Alexis Lafranchi, défenseur d’office de N.________, qui fait état de 19 heures d’activité d’avocat, audience d’appel comprise, d’une vacation et de débours forfaitaires à concurrence de 5 % des honoraires, si ce n’est pour réduire le montant de ces débours, ceux-ci devant être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allouée à Me Alexis Lafranchi pour la procédure d’appel est par conséquent fixée à 3'886 fr. 25, correspondant à 19 heures d’activité au tarif horaire de 180 fr., par 3’420 fr., à 68 fr. 40 de débours, à une vacation à 120 fr. et à la TVA au taux de 7,7 %, par 277 fr. 85. Par prononcé du 3 décembre 2021, une indemnité de défenseur d'office d’un montant de 2'035 fr. 50 a été allouée au précédent défenseur de Q.________, Me Jean-Pierre Bloch, pour la procédure d’appel. Vu l'issue de la cause, les frais de la procédure d'appel, par 9'151 fr. 75, constitués de l'émolument du présent jugement, par 3’230 fr. (art. 21 al. 1 et 2 TFIP), ainsi que des indemnités allouées aux défenseurs d’office de Q.________ et de N.________, seront répartis comme il suit : - à la charge de Q.________, un tiers de l’émolument d’appel ainsi que les deux tiers de l’indemnité allouée à son précédent défenseur, Me Jean-Pierre Bloch ; - à la charge de N.________, un tiers de l’émolument d’appel ainsi que les deux tiers de l’indemnité allouée à son défenseur d’office, Me Alexis Lafranchi ; - le solde des frais est laissé à la charge de l’Etat. Q.________ et N.________ ne seront tenus de rembourser à l’Etat les deux tiers des indemnités en faveur de leurs défenseurs d’office que lorsque leurs situations financières respectives le permettront (art. 135 al. 4 let. a CPP). Enfin, O.________ n’ayant pris aucune conclusion en ce sens, il n’y a pas lieu de lui allouer une indemnité pour ses frais de défense au sens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