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108 vom 19. Mai 2021</w:t>
      </w:r>
    </w:p>
    <w:p>
      <w:r>
        <w:t>VD Tribunal cantonal, 2021-05-19, FR</w:t>
      </w:r>
    </w:p>
    <w:p>
      <w:r>
        <w:rPr>
          <w:b/>
        </w:rPr>
        <w:t xml:space="preserve">Quelle: </w:t>
      </w:r>
      <w:r>
        <w:t>https://mcp.opencaselaw.ch/entscheid/vd_findinfo_Jug___2022___108</w:t>
      </w:r>
    </w:p>
    <w:p>
      <w:r>
        <w:t>FR: VD_FINDINFO Jug / 2022 / 108 du 19 mai 2021</w:t>
      </w:r>
    </w:p>
    <w:p>
      <w:r>
        <w:t>IT: VD_FINDINFO Jug / 2022 / 108 del 19 maggio 2021</w:t>
      </w:r>
    </w:p>
    <w:p>
      <w:pPr>
        <w:pStyle w:val="Heading2"/>
      </w:pPr>
      <w:r>
        <w:t>Regeste</w:t>
      </w:r>
    </w:p>
    <w:p>
      <w:r>
        <w:t>EXPULSION{DROIT DES ÉTRANGERS}, EXPULSION{DROIT PÉNAL}, INTERDICTION DES TRAITEMENTS INHUMAINS, INTERDICTION DE LA TORTURE, RISQUE DE RÉCIDIVE, ADMISSION PROVISOIRE, RÉFUGIÉ, TIBET, EXÉCUTION DES PEINES ET DES MESURES | 3 CEDH, 8 CEDH, 8 par. 2 CEDH, 66a CP, 13 Cst.</w:t>
      </w:r>
    </w:p>
    <w:p>
      <w:pPr>
        <w:pStyle w:val="Heading2"/>
      </w:pPr>
      <w:r>
        <w:t>Erwägungen</w:t>
      </w:r>
    </w:p>
    <w:p>
      <w:r>
        <w:rPr>
          <w:b/>
        </w:rPr>
        <w:t>E. 1</w:t>
      </w:r>
    </w:p>
    <w:p>
      <w:r>
        <w:t>Interjeté dans les formes et délais légaux (art. 399, 400 al. 3 let. b et 401 CPP) par une partie ayant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w:t>
      </w:r>
    </w:p>
    <w:p>
      <w:r>
        <w:t>Aux termes de l'art. 386 al. 2 let. a CPP (Code de procédure pénale suisse du 5 octobre 2007 ; RS 312.0), quiconque a interjeté un recours peut le retirer, s'agissant d'une procédure orale, avant la clôture des débats. Cette disposition est applicable en matière d’appel (CAPE 22 mai 2019/129 ; CAPE 29 octobre 2018/443), ainsi qu’en matière d’appel joint (CAPE du 10 mars 2020/153). En l’espèce, par courrier du 11 octobre 2021, A.H.________, par l’entremise de son défenseur d’office, a retiré son appel joint. Il y a ainsi lieu de prendre acte de ce retrait, les conditions de l'art. 386 al. 2 let. a CPP étant réalisées.</w:t>
      </w:r>
    </w:p>
    <w:p>
      <w:r>
        <w:rPr>
          <w:b/>
        </w:rPr>
        <w:t>E. 4.1</w:t>
      </w:r>
    </w:p>
    <w:p>
      <w:r>
        <w:t>Le Ministère public requiert l’expulsion de A.H.________ du territoire suisse pour une durée de 12 ans, en application de l’art. 66a al. 1 CP. Se fondant sur la situation personnelle du condamné, ses antécédents et son comportement en détention, le Parquet estime qu’en dix ans passés en Suisse, celui-ci ne s’est absolument pas intégré et que ses perspectives de réinsertion sont très mauvaises. Il soutient que l’intérêt public à son expulsion serait très important, compte tenu de la gravité des faits qui l’ont conduits à être condamné, du risque élevé de récidive, de l’absence d’intégration et de perspectives concrètes et sérieuses en Suisse. Partant, l’intérêt à son expulsion l’emporterait manifestement sur son intérêt privé à rester en Suisse, ce qui exclurait l’application de la clause de rigueur.</w:t>
      </w:r>
    </w:p>
    <w:p>
      <w:r>
        <w:rPr>
          <w:b/>
        </w:rPr>
        <w:t>E. 4.2.1</w:t>
      </w:r>
    </w:p>
    <w:p>
      <w:r>
        <w:t>Selon l'art. 66a al. 1 let. b et c CP (Code pénal suisse du 21 décembre 1937 ; RS 311.0), le juge expulse de Suisse, pour une durée de cinq à quinze ans, l'étranger qui est condamné, notamment, pour agression (art. 134) et brigandage (art. 140).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Le juge doit fixer la durée de l’expulsion dans la fourchette prévue de cinq à quinze ans, en tenant compte notamment du principe de la proportionnalité.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4.2.2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w:t>
      </w:r>
    </w:p>
    <w:p>
      <w:r>
        <w:rPr>
          <w:b/>
        </w:rPr>
        <w:t>E. 4.2.3</w:t>
      </w:r>
    </w:p>
    <w:p>
      <w:r>
        <w:t>Aux termes de l'art. 66d al. 1 CP, l'exécution de l'expulsion obligatoire selon l'art. 66a CP ne peut être reportée que dans deux hypothèses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(loi fédérale sur l'asile du 26 juin 1998 ; RS 142.31 ; let. a) et lorsque d'autres règles impératives du droit international s'opposent à l'expulsion (let. b ; TF 6B_296/2018 du 13 juillet 2018 consid. 5). Selon l'art. 66d al. 2 CP, lorsqu'elle prend sa décision, l'autorité cantonale compétente présume qu'une expulsion vers un Etat que le Conseil fédéral a désigné comme un Etat sûr au sens de l'art. 6a al. 2 LAsi ne contrevient pas à l'art. 25 al. 2 et 3 Cst.</w:t>
      </w:r>
    </w:p>
    <w:p>
      <w:r>
        <w:rPr>
          <w:b/>
        </w:rPr>
        <w:t>E. 4.2.4</w:t>
      </w:r>
    </w:p>
    <w:p>
      <w:r>
        <w:t>L'art. 25 al. 3 Cst. dispose que nul ne peut être refoulé sur le territoire d'un Etat dans lequel il risque la torture ou tout autre traitement ou peine cruels et inhumains. L'art. 3 § 1 de la Convention du 10 décembre 1984 contre la torture et autres peines ou traitements cruels, inhumains ou dégradants (Convention contre la torture ; RS 0.105)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(CourEDH F.G. contre Suède du 23 mars 2016 [requête n° 43611/11] § 113 ; Saadi contre Italie du 28 février 2008 [requête n° 37201/06] § 125 et 128 ; Chahal contre Royaume-Uni du 15 novembre 1996 [requête n° 22414/93] § 74 et 96). Pour tomber sous le coup de l'art. 3 CEDH, un mauvais traitement doit toutefois atteindre un minimum de gravité (CourEDH Saadi contre Italie précité § 134). L'appréciation de ce minimum dépend de l'ensemble des données de la cause (ATF 134 I 221 consid. 3.2.1 ; TF 6B_908/2019 précité consid. 2.1.2). Si l'existence d'un tel risque est établie, l'expulsion, respectivement le refoulement de celui-ci emporterait nécessairement violation de l'art. 3 CEDH, que le risque émane d'une situation générale de violence, d'une caractéristique propre à l'intéressé, ou d'une combinaison des deux (CourEDH F.G. contre Suède précité § 116 et les références citées).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(CourEDH Paposhvili contre Belgique du 13 décembre 2013 [requête n° 41738/10] § 186-189).</w:t>
      </w:r>
    </w:p>
    <w:p>
      <w:r>
        <w:rPr>
          <w:b/>
        </w:rPr>
        <w:t>E. 4.3</w:t>
      </w:r>
    </w:p>
    <w:p>
      <w:r>
        <w:t>Les premiers juges ont rappelé que A.H.________ n’était pas né en Suisse mais était arrivé dans ce pays jeune, soit à l’âge de douze ans et qu’il avait déclaré ne pas avoir de contact dans son pays d’origine, dont il ne parlait pas la langue. Ils ont également relevé que le Tibet était considéré comme la deuxième région la moins libre de la planète, de sorte que le renvoi du prévenu pourrait le mettre en danger. Ils ont par conséquent considéré que l’intérêt public à l’expulsion ne l’emportait pas sur l’intérêt privé du prévenu à pouvoir rester en Suisse. Le Tribunal correctionnel a ainsi appliqué la clause de rigueur et renoncé à expulser A.H.________. Bien que le condamné ait sa famille en Suisse, à savoir ses parents et ses frères et sœurs, il est à présent majeur, n’est pas marié et n’a pas d’enfant. Il ne vit d’ailleurs plus chez ses parents, puisqu’il a déclaré lors de l’audience d’appel qu’avant son interpellation, il vivait principalement chez un ami et qu’il subvenait à ses besoins grâce aux vols qu’il commettait. Depuis son incarcération, il n’entretiendrait des liens qu’avec sa mère et l’une de ses sœurs. Au surplus, on relève que le permis F dont sont titulaires ces dernières ne constitue qu’une admission provisoire, puisque ce type de livret est délivré aux personnes qui font l’objet d’une décision de renvoi de Suisse mais pour lesquelles l’exécution du renvoi se révèlerait illicite (violation du droit international public), inexigible (mise en danger concrète de l’étranger) ou matériellement impossible (pour des motifs techniques d’exécution). Les membres de sa famille avec qui il entretient des liens affectifs ne bénéficient donc pas d’un droit de résider durablement en Suisse ; l’intimé ne remplit donc pas les critères posés par la jurisprudence sur le droit au respect de la vie privée et familiale garanti par l’art. 8 CEDH (cf. supra consid. 4.2.2). Au surplus, compte tenu de l’absence de toute insertion de l’intimé, tant sociale que professionnelle, ce dernier ne peut pas se prévaloir de liens spécialement intenses avec la Suisse. En effet, il n’a terminé aucune formation et n’a jamais exercé une activité rémunérée. Même dans son établissement de détention pour jeunes adultes, il ne participe pas aux formations qui y sont dispensées et n’a pas profité de cette occasion pour acquérir des compétences. La motivation à débuter une insertion professionnelle qu’il a exprimée lors de l’audience d’appel est apparue très pauvre. Il a au surplus donné une impression déplorable, en se moquant même de sa sœur qui était venue le soutenir. Ses perspectives de socialisation sont donc minces, pour ne pas dire nulles. Comme le soutient le Ministère public, on relève que l’intimé a récidivé en commettant à nouveau des infractions de violence, alors qu’une enquête pénale était dirigée contre lui et qu’il était soumis à un délai d’épreuve, quelques jours seulement après avoir été condamné le 15 juillet 2020 par le Tribunal de l’arrondissement de Lausanne ; il a encore récidivé alors qu’une nouvelle enquête était dirigée contre lui. Il a également fait l’objet de plusieurs sanctions durant sa détention provisoire, puis à nouveau durant la procédure d’appel, faisant à nouveau preuve de violence envers ses codétenus ou envers des agents de détention. A l’évidence, les condamnations pénales et le régime de la détention n’ont eu aucun effet sur l’intimé pour le détourner de la commission d’actes de violence, contrairement à ce qu’il soutient. Le risque de récidive, qui s’est matérialisé à plusieurs reprises durant la procédure, est manifestement élevé ; le pronostic doit donc être considéré comme entièrement défavorable. Bien qu’il est vrai qu’une expulsion du territoire suisse placerait l’intimé dans une situation personnelle difficile, les art. 13 Cst. et 8 CEDH ne seraient pas pour autant violés. En définitive, compte tenu en particulier du risque élevé de récidive, l’intérêt public à l’expulsion l’emporte sur l’intérêt privé de de l’intimé à demeurer en Suisse. Il s’ensuit qu’il n’y a pas lieu de faire bénéficier l’intimé de la clause de rigueur de l’art. 66a al. 2 CP. Reste à présent à déterminer si le renvoi de l’intimé dans son pays d’origine risque de l’exposer à des actes de torture ou d’autres peines ou traitements cruels, inhumains ou dégradants, au sens de l’art. 3 CEDH, compte tenu de son ethnie tibétaine, qui n’est pas contestée. La sœur aînée de l’intimé, B.H.________, a témoigné lors de l’audience d’appel et a expliqué les circonstances du départ de la famille du Tibet, ainsi que le trajet effectué pour se rendre en Suisse, en passant par les montagnes, puis en rejoignant l’Inde, pays depuis lequel la famille a pris un vol jusqu’en Suisse. B.H.________ a également déclaré que, si les communistes chinois apprenaient le retour d’un ou de plusieurs membres de la famille, après leur fuite en Suisse il y a 11 ans, ils les condamneraient ou les mettraient dans des camps. L’intimé, par son défenseur, a produit lors de l’audience d’appel un bordereau de pièces faisant principalement un état des lieux du respect (ou de l’absence de celui-ci) des droits humains et des libertés au Tibet. Il en ressort notamment que 50 experts indépendants des droits humains des Nations Unies ont formulé de vives critiques à l’égard de la Chine, entre autres pour la répression qu’elle exerce à l’encontre des minorités ethniques et religieuses au Tibet. Selon la jurisprudence du Tribunal administratif fédéral, le renvoi d’une personne d’ethnie tibétaine ne peut en aucun cas être exécuté vers la République populaire de Chine, puisqu’elle risquerait d’y être soumise à des traitements inhumains ou d’y être torturée (D-473/2017 du 6 février 2020 ; ATAF 2014/12 consid. 5.11). Néanmoins, en réponse à une interpellation déposée par une conseillère nationale le 29 septembre 2017, le Conseil fédéral a indiqué qu’il était possible de renvoyer dans un Etat tiers des requérants d’asile tibétains déboutés (P. 75/2). Au vu de ce qui précède, la Cour de céans estime qu’il est non seulement justifié, mais aussi proportionné de prononcer l’expulsion de l’intimé du territoire suisse vers un pays tiers, à l’exclusion de la République populaire de Chine. Compte tenu du fait que l’intimé ne semble pas avoir de lien avec un autre pays, qu’il a toute sa famille proche en Suisse et qu’il est encore jeune, la durée de cette expulsion peut être fixée à huit ans. La question d’un éventuel report de l’exécution de cette mesure, en application de l’art. 66d CP, pourra encore être tranchée par l’autorité administrative compétente. 5. 5.1 Le Ministère public a encore requis l’inscription de la mesure d’expulsion dans le Système d’information Schengen (SIS). 5.2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 5.3 Par inadvertance, le dispositif notifié aux parties ne prévoit pas que la mesure d’expulsion soit inscrite au SIS. Il n’est pas possible de rectifier cette erreur à ce stade, de sorte qu’il sera renoncé à inscrire la mesure dans le Système d’information Schengen. 6. Au vu de ce qui précède, l’appel du Ministère public doit être partiellement admis. Le jugement sera ainsi modifié dans le sens des considérants qui précèdent. Le défenseur d’office de A.H.________, Me Sylvie Saint-Marc, remplacée lors de l’audience par Me Carolin Alvermann, a produit par cette dernière une liste d’opérations faisant état d’une durée de 20 heures et 5 minutes d’activité (P. 74). Cette durée doit être réduite. En premier lieu, la rédaction de l’appel joint a été alléguée à hauteur de 7 heures, ce qui est excessif ; le temps qui peut raisonnablement être admis à ce titre est de 5 heures, compte tenu de la connaissance préalable du dossier par le défenseur d’office et des moyens qui ont été développés sur à peine trois pages. Au surplus, le fait que Me Saint-Marc ait dû être remplacée ne doit pas porter préjudice à la défense ni engendrer une augmentation des honoraires. Pour cette raison, il y a lieu de réduire le temps allégué (6 heures) pour la préparation du dossier et l’établissement d’un bordereau de pièces, opérations qui peuvent tout de même être comptabilisées à hauteur de 2 heures, dès lors que les recherches portaient sur la situation des droits humains au Tibet et à la contestation de l’expulsion de l’intimé. Enfin, le temps d’audience a été estimé à 2 heures, mais a en réalité duré 1h30, de sorte qu’il faut retrancher 30 minutes à ce titre. En définitive, il y a lieu de tenir compte d’un total de 13 heures et 35 minutes d’activité d’avocat.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2’445 fr. à titre d’honoraires. A cela s’ajoutent un forfait pour les débours de 2 % (cf. art. 26b TFIP qui renvoie à l'art. 3bis RAJ), par 48 fr. 90, une vacation par 120 fr., ainsi que la TVA sur le tout, au taux de 7,7 %, par 201 fr. 30. Partant, une indemnité d’un montant total de 2'815 fr. 20 sera allouée à Me Sylvie Saint-Marc. Vu l’issue de la cause, les frais de deuxième instance, constitués en l’espèce de l’émolument de jugement et d’audience, par 2’790 fr. (19 pages et plus d’une heure d’audience ; cf. art. 21 al. 1 et 2 TFIP), ainsi que de l’indemnité allouée au défenseur d’office de l’intimé, par 2'815 fr. 20, soit au total par 5’605 fr. 20, doivent être mis à la charge de l’intimé par neuf dixièmes, soit par 5’044 fr. 70, le solde étant laissé à la charge de l’Etat (art. 428 al. 1 CPP). Le remboursement à l'Etat des neuf dixièmes de l’indemnité d'office ne sera exigible de A.H.________ que pour autant que sa situation économique le permette (art. 135 al. 4 CPP). La précision quant à la proportion du remboursement ayant été omise dans le dispositif envoyé aux parties, celui-ci sera rectifié d’office en application de l’art. 83 al. 1 CPP.</w:t>
      </w:r>
    </w:p>
    <w:p>
      <w:r>
        <w:rPr>
          <w:b/>
        </w:rPr>
        <w:t>E. 8</w:t>
      </w:r>
    </w:p>
    <w:p>
      <w:r>
        <w:t>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Par ailleurs, un étranger peut se prévaloir de l’art. 8 § 1 CEDH (et de l’art.</w:t>
      </w:r>
    </w:p>
    <w:p>
      <w:r>
        <w:rPr>
          <w:b/>
        </w:rPr>
        <w:t>E. 13</w:t>
      </w:r>
    </w:p>
    <w:p>
      <w:r>
        <w:t>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