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103 vom 30. Juli 2021</w:t>
      </w:r>
    </w:p>
    <w:p>
      <w:r>
        <w:t>VD Tribunal cantonal, 2021-07-30, FR</w:t>
      </w:r>
    </w:p>
    <w:p>
      <w:r>
        <w:rPr>
          <w:b/>
        </w:rPr>
        <w:t xml:space="preserve">Quelle: </w:t>
      </w:r>
      <w:r>
        <w:t>https://mcp.opencaselaw.ch/entscheid/vd_findinfo_Jug___2022___103</w:t>
      </w:r>
    </w:p>
    <w:p>
      <w:r>
        <w:t>FR: VD_FINDINFO Jug / 2022 / 103 du 30 juillet 2021</w:t>
      </w:r>
    </w:p>
    <w:p>
      <w:r>
        <w:t>IT: VD_FINDINFO Jug / 2022 / 103 del 30 luglio 2021</w:t>
      </w:r>
    </w:p>
    <w:p>
      <w:pPr>
        <w:pStyle w:val="Heading2"/>
      </w:pPr>
      <w:r>
        <w:t>Regeste</w:t>
      </w:r>
    </w:p>
    <w:p>
      <w:r>
        <w:t>ABUS DE CONFIANCE, GESTION DÉLOYALE, FIXATION DE LA PEINE, RECOURS JOINT | 138 ch. 1 al. 2 CP, 158 CP, 47 CP</w:t>
      </w:r>
    </w:p>
    <w:p>
      <w:pPr>
        <w:pStyle w:val="Heading2"/>
      </w:pPr>
      <w:r>
        <w:t>Erwägungen</w:t>
      </w:r>
    </w:p>
    <w:p>
      <w:r>
        <w:rPr>
          <w:b/>
        </w:rPr>
        <w:t>E. 4</w:t>
      </w:r>
    </w:p>
    <w:p>
      <w:r>
        <w:t>L’appelant par voie de jonction fait encore valoir qu’il résulterait de l'instruction que X.________ aurait admis avoir établi trois fausses fiches de salaire à la demande de [...], ce qui constituerait une violation de l'art. 252 CP. La question des fiches de salaire ne figure pas dans l'acte d'accusation. Par conséquent et en application de l’art. 333 CPP, X.________ ne saurait été poursuivi pour ces faits. Le grief d'Y.________ doit donc être rejeté.</w:t>
      </w:r>
    </w:p>
    <w:p>
      <w:r>
        <w:rPr>
          <w:b/>
        </w:rPr>
        <w:t>E. 5.1</w:t>
      </w:r>
    </w:p>
    <w:p>
      <w:r>
        <w:t>En lien avec le chiffre 2 de l'acte d'accusation (lettre C.2.2 ci-dessus), l'appelant se prévaut de la convention signée avec L.________ et requiert l'application des art. 52 et 53 CP. Il souligne que sa responsabilité dans ce cas ne serait pas très importante, dès lors qu'il n'a pu achever les travaux en raison de son état de santé, que le préjudice n'est pas très important et qu'il a déjà partiellement remboursé la dette y relative.</w:t>
      </w:r>
    </w:p>
    <w:p>
      <w:r>
        <w:rPr>
          <w:b/>
        </w:rPr>
        <w:t>E. 5.2</w:t>
      </w:r>
    </w:p>
    <w:p>
      <w:r>
        <w:t>La question de l’application des art. 52 et 53 CP peut être laissée indécise dès lors que X.________ doit de toute façon être libéré de l’infraction d’abus de confiance retenue à son encontre par les premiers juges s’agissant des faits relatés sous chiffre 2 de l’ordonnance valant acte d’accusation (lettre C.2.2 ci-dessus) pour les motifs suivants : X.________ a entrepris des travaux chez L.________. Il a encaissé directement les acomptes versés par ce dernier et les a utilisés à d’autres fins qu’à la réalisation des travaux convenus. Toutefois, le contrat d’entreprise liant les deux parties ne prévoyait pas expressément l’affectation unique des acomptes versés par le maître de l’ouvrage au règlement des factures relatives à la construction faisant l'objet du contrat (a contrario TF 6B_160/2012 du 5 avril 2013 consid. 2.2 ; CAPE du 23 janvier 2017/27). A défaut d’une telle clause et donc d’instructions plus précises, on ne saurait considérer que les acomptes versés par L.________ constituaient une valeur patrimoniale confiée au sens de l’art. 138 al. 1 ch. 2 CP. X.________ était donc en droit d’affecter cette somme comme il l’a fait et le fait qu’il n’ait finalement ni terminé les travaux, ni remboursé le montant des acomptes relève uniquement de l’inexécution d’un contrat civil. Au vu de ce qui précède, l’une des conditions objectives n’étant pas réalisée, l’appelant doit être libéré de l'infraction d'abus de confiance, sans qu’il soit nécessaire d’examiner plus avant la condition subjective de l’infraction.</w:t>
      </w:r>
    </w:p>
    <w:p>
      <w:r>
        <w:rPr>
          <w:b/>
        </w:rPr>
        <w:t>E. 6.1</w:t>
      </w:r>
    </w:p>
    <w:p>
      <w:r>
        <w:t>L’appelant étant libéré de l’infraction d’abus de confiance pour le cas n° 2 de l’acte d’accusation, il y a lieu de revoir la peine prononcée en première instance.</w:t>
      </w:r>
    </w:p>
    <w:p>
      <w:r>
        <w:rPr>
          <w:b/>
        </w:rPr>
        <w:t>E. 6.2.1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Selon l'art. 41 al. 1 CP en vigueur depuis le 1 er janvier 2018,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w:t>
      </w:r>
    </w:p>
    <w:p>
      <w:r>
        <w:rPr>
          <w:b/>
        </w:rPr>
        <w:t>E. 6.2.2</w:t>
      </w:r>
    </w:p>
    <w:p>
      <w:r>
        <w:t>Aux termes de l'art. 42 al. 1 CP, le juge suspend en règle générale l'exécution d'une peine pécuniaire ou d'une peine privative de liberté de deux ans au plus lorsqu'une peine ferme ne paraît pas nécessaire pour détourner l'auteur d'autres crimes ou délits. Sur le plan subjectif, pour l'octroi du sursis, le juge doit poser un pronostic quant au comportement futur de l'auteur. En l'absence de pronostic défavorable, il doit accorder le sursis. Celui-ci est ainsi la règle, dont le juge ne peut s'écarter qu'en présence d'un pronostic défavorable ou hautement incertain (ATF 134 IV 1 consid. 4.2.2 ; TF 6B_301/2020 du 28 avril 2020 consid. 2.1). En d'autres termes, la loi présume l'existence d'un pronostic favorable et cette présomption doit être renversée pour exclure le sursis (ATF 134 IV 1 consid. 5.3.1).</w:t>
      </w:r>
    </w:p>
    <w:p>
      <w:r>
        <w:rPr>
          <w:b/>
        </w:rPr>
        <w:t>E. 6.3</w:t>
      </w:r>
    </w:p>
    <w:p>
      <w:r>
        <w:t>X.________ doit être reconnu coupable de gestion déloyale. Sa culpabilité n’est pas négligeable. Il a sciemment abusé de la confiance de son partenaire dans le cadre de la constitution de la société de paysagisme, détournant à son profit des valeurs patrimoniales de celle-ci. Aujourd’hui encore, il tente de justifier ses actes repréhensibles. Il minimise ses fautes et sa responsabilité. Au demeurant, ses précédentes condamnations pénales, notamment pour détournement de valeurs patrimoniales mises sous main de justice, faux dans les titres ou violation d’une obligation d’entretien, ne l’ont manifestement pas dissuadé. Il n’y a donc aucune prise de conscience. A décharge, il sera tenu compte de la situation financière et personnelle du prévenu au moment des faits. Compte tenu des éléments qui précèdent et en particulier des sept condamnations qui maculent le casier judiciaire de l’intéressé, une peine privative de liberté s’impose aujourd’hui, les peines pécuniaires accordées jusqu’ici n’ayant eu aucun effet sur le comportement du prévenu qui persiste dans ses comportements répréhensibles. La quotité de la peine sera arrêté à trois mois. Cette peine sera ferme, les nombreux antécédents pénaux ainsi que le fait que X.________ ait repris une activité d’indépendant – ce qui apparaît relativement inquiétant considérant le profil de l’intéressé – ne permettant pas de poser un pronostique qui ne soit pas défavorable.</w:t>
      </w:r>
    </w:p>
    <w:p>
      <w:r>
        <w:rPr>
          <w:b/>
        </w:rPr>
        <w:t>E. 7.1</w:t>
      </w:r>
    </w:p>
    <w:p>
      <w:r>
        <w:t>Y.________ a conclu à ce que lui soit accordée l'assistance judiciaire gratuite.</w:t>
      </w:r>
    </w:p>
    <w:p>
      <w:r>
        <w:rPr>
          <w:b/>
        </w:rPr>
        <w:t>E. 7.2</w:t>
      </w:r>
    </w:p>
    <w:p>
      <w:r>
        <w:t>Aux termes de l'art. 29 al. 3 Cst., toute personne qui ne dispose pas de ressources suffisantes a droit, à moins que sa cause paraisse dépourvue de toute chance de succès, à l'assistance gratuite d'un défenseur, dans la mesure où la sauvegarde de ses droits le requiert. Cette disposition vise à assurer à chacun, indépendamment de sa situation financière, l'accès à un tribunal ainsi que la sauvegarde effective de ses droits (ATF 131 I 350 consid. 3.1 p. 355). L'art. 136 CPP concrétise les conditions d'octroi de l'assistance judiciaire pour la partie plaignante dans un procès pénal. Selon l'art. 136 al. 1 CPP, la direction de la procédure accorde entièrement ou partiellement l'assistance judiciaire à la partie plaignante indigente (let. a) pour lui permettre de faire valoir ses prétentions civiles si l'action civile ne paraît pas vouée à l'échec (let. b). L'assistance judiciaire comprend l'exonération d'avances de frais et de sûretés (art. 136 al. 2 let. a CPP), l'exonération des frais de procédure (let. b) et/ou la désignation d'un conseil juridique gratuit, lorsque la défense des intérêts de la partie plaignante l'exige (let. c). Cette norme reprend ainsi les trois conditions cumulatives découlant de l'art. 29 al. 3 Cst., à savoir l'indigence, les chances de succès et le besoin d'être assisté. Le législateur a sciemment limité l'octroi de l'assistance judiciaire aux cas où le plaignant peut faire valoir des prétentions civiles. Il a ainsi tenu compte du fait que le monopole de la justice répressive est par principe exercé par l'État, de sorte que l'assistance judiciaire de la partie plaignante se justifie en priorité pour défendre ses conclusions civiles (cf. Message du 21 décembre 2005 relatif à l'unification du droit de la procédure pénale, FF 2006 1160 ; TF 6B_458/2015 du 16 décembre 2015 consid. 4.3.3 et références citées). L'art. 136 al. 1 CPP n'exclut cependant pas que le conseil juridique assistant le plaignant au bénéfice de l'assistance judiciaire puisse intervenir, déjà au stade de l'instruction préliminaire, également sur les aspects pénaux, qui peuvent avoir une influence sur le principe et la quotité des prétentions civiles (arrêt 6B_458/2015 du 16 décembre 2015 consid. 4.3.3 et références citées). L’assistance judiciaire gratuite est toutefois exclue pour la partie plaignante dans les cas où celle-ci souhaiterait agir que sur les aspects pénaux de l’affaire (cf. Moreillon/Parein-Reymond, Petit commentaire, Code de procédure pénale, 2 e éd., Bâle 2016, n. 5 ad art. 136 CPP).</w:t>
      </w:r>
    </w:p>
    <w:p>
      <w:r>
        <w:rPr>
          <w:b/>
        </w:rPr>
        <w:t>E. 7.3</w:t>
      </w:r>
    </w:p>
    <w:p>
      <w:r>
        <w:t>Le plaignant n'allègue, ni ne démontre d'aucune manière son indigence, de sorte que l’une des conditions cumulatives au moins de l’art. 136 CPP n’est manifestement pas réalisée. La requête d’assistance judiciaire présentée par Y.________ doit par conséquent être rejetée.</w:t>
      </w:r>
    </w:p>
    <w:p>
      <w:r>
        <w:rPr>
          <w:b/>
        </w:rPr>
        <w:t>E. 7.4</w:t>
      </w:r>
    </w:p>
    <w:p>
      <w:r>
        <w:t>Au demeurant, s’agissant des conclusions civiles, il ne ressort pas des pièces au dossier ou du procès-verbal d’audience de première instance qu’Y.________ aurait fait valoir des conclusions civiles en première instance. A l’audience d’appel, il a déposé des conclusions civiles chiffrées et un onglet de 13 pièces juste avant la clôture de la procédure probatoire. Or, les prétentions civiles peuvent être élevées au plus tard lors des plaidoiries devant le tribunal du premier degré (art. 123 al. 2 CPP ; TF 6B_769/2019 du 25 octobre 2019 consid. 3.1 et les arrêts cités). Si la partie plaignante n'est pas à même de le faire, notamment parce que son dommage n'est pas encore ou pas entièrement établi, par hypothèse dans le cas d'un dommage évolutif, elle doit indiquer quelles sortes de prétentions civiles elle entend faire valoir et demander qu'elles lui soient allouées dans leur principe (ATF 127 IV 185 consid. 1a ; TF 6B_1437/2021 du 26 janvier 2022, consid. 5.1 ; TF 6B_769/2019 consid. 3.1 et les arrêts cités). La partie plaignante ne saurait en tous les cas se limiter à demander la réserve de ses prétentions civiles ou, en d'autres termes, à signaler simplement qu'elle pourrait les faire valoir ultérieurement, dans une autre procédure. Ce faisant, elle ne prend pas de conclusions civiles sur le fond (ATF 127 IV 185 consid. 1b p. 188). Au vu de ce qui précède, les conclusions civiles prises pour la première fois par Y.________ dans le cadre de la procédure d’appel sont manifestement tardives. Partant, les pièces déposées en audience d’appel sont irrecevables et Y.________ doit être renvoyé à agir par la voie civile. Les conclusions civiles étant tardives, les réquisitions de preuve formulées par l’intéressé dans son appel joint doivent être rejetées, celles-ci visant à établir les montants encaissés par le prévenu.</w:t>
      </w:r>
    </w:p>
    <w:p>
      <w:r>
        <w:rPr>
          <w:b/>
        </w:rPr>
        <w:t>E. 8</w:t>
      </w:r>
    </w:p>
    <w:p>
      <w:r>
        <w:t>Il n’y a pas lieu de modifier la répartition des frais de première instance. En effet, si les faits non retenus à la charge de X.________ au stade de l’appel ne sont pas pénalement punissables, ils sont néanmoins constitutifs d’une faute civile, l’appelant n’ayant pas exécuté le contrat qui le liait à L.________.</w:t>
      </w:r>
    </w:p>
    <w:p>
      <w:r>
        <w:rPr>
          <w:b/>
        </w:rPr>
        <w:t>E. 9</w:t>
      </w:r>
    </w:p>
    <w:p>
      <w:r>
        <w:t>L’appel joint devant être rejeté dans la mesure de sa recevabilité, il n'y pas lieu de procéder à l'administration des preuves sollicitées par l'intéressé.</w:t>
      </w:r>
    </w:p>
    <w:p>
      <w:r>
        <w:rPr>
          <w:b/>
        </w:rPr>
        <w:t>E. 10</w:t>
      </w:r>
    </w:p>
    <w:p>
      <w:r>
        <w:t>En conclusion, l'appel principal est partiellement admis et le jugement réformé dans le sens des considérants. L'appel joint est rejeté dans la mesure où il est recevable. Me Gindroz, avocat-stagiaire en remplacement de Me Cavargna-Debluë, défenseur d’office de X.________, a produit à l’audience d’appel une liste des opérations faisant état de 1h30 d’activité d’avocat et de 33h05 d’activité d’avocat-stagiaire. La durée d’activité de l’avocat-stagiaire est toutefois largement excessive.  Au vu de la nature de la cause et considérant que c'est le même mandataire qui a effectué le travail en première et en deuxième instance et qu'il connaissait ainsi bien le dossier, il y a lieu de déduire 8h sur les 10h05 annoncées pour la préparation de l’audience d’appel, ainsi que 6h sur les 12h55 annoncées pour les recherches juridiques et établissement du projet de déclaration d’appel. En définitive, il convient donc de réduire de 14h au total la durée d’activité nécessaire d’avocat-stagiaire. C’est donc une indemnité pour la procédure d’appel d’un montant de 2’680 fr. 45, correspondant à 1h30 d’activité d’avocat breveté, au tarif horaire de 180 fr., ainsi que 19h d’activité d’avocat-stagiaire, au tarif horaire de 110 fr., plus une vacation à 80 fr., plus 48 fr. 40 de débours (2% des honoraires), plus 191 fr. 65 de TVA, qui sera allouée à Me Rachel Carvagna-Debluë. Vu l’issue de la cause, les frais de la procédure d’appel, par 5'690 fr. 45, constitués en l’espèce de l’émolument de jugement, par 3’010 fr. (art. 21 al. 1 TFIP [Tarif des frais de procédure et indemnités en matière pénale du 28 septembre 2010 ; RSV 312.03.1]), et de l’indemnité allouée au défenseur d’office, par 2'680 fr. 45, doivent être mis par moitié à la charge de X.________, par un quart à la charge d’Y.________, le solde étant laissé à la charge de l’Etat. Y.________, dont les conclusions de son appel joint sont rejetées dans la mesure de leur recevabilité, obtient néanmoins partiellement gain de cause, en ce sens que la condamnation de X.________ est confirmée pour le cas n° 1 de l’acte d’accusation. Ayant procédé avec l’assistance d’un mandataire professionnel, il a droit à une indemnité réduite de moitié pour les dépenses occasionnées par la procédure de deuxième instance (art. 429 al. 1 let. a CPP, applicable par renvoi de l’art. 436 al. 1 CPP). Sur la base de la liste des opérations produites, celle-ci sera arrêtée à 1'962 fr. 45 (3'924.90/2). Elle sera mise à la charge de X.________. X.________ ne sera tenu de rembourser à l’Etat la moitié du montant de l’indemnité en faveur de son conseil d’office mise à sa charge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