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101 vom 12. Oktober 2021</w:t>
      </w:r>
    </w:p>
    <w:p>
      <w:r>
        <w:t>VD Tribunal cantonal, 2021-10-12, FR</w:t>
      </w:r>
    </w:p>
    <w:p>
      <w:r>
        <w:rPr>
          <w:b/>
        </w:rPr>
        <w:t xml:space="preserve">Quelle: </w:t>
      </w:r>
      <w:r>
        <w:t>https://mcp.opencaselaw.ch/entscheid/vd_findinfo_Jug___2022___101</w:t>
      </w:r>
    </w:p>
    <w:p>
      <w:r>
        <w:t>FR: VD_FINDINFO Jug / 2022 / 101 du 12 octobre 2021</w:t>
      </w:r>
    </w:p>
    <w:p>
      <w:r>
        <w:t>IT: VD_FINDINFO Jug / 2022 / 101 del 12 ottobre 2021</w:t>
      </w:r>
    </w:p>
    <w:p>
      <w:pPr>
        <w:pStyle w:val="Heading2"/>
      </w:pPr>
      <w:r>
        <w:t>Regeste</w:t>
      </w:r>
    </w:p>
    <w:p>
      <w:r>
        <w:t>ALCOOLÉMIE, TEST DE L'HALEINE, CAPACITÉ DE CONDUIRE | 91 al. 2 LCR</w:t>
      </w:r>
    </w:p>
    <w:p>
      <w:pPr>
        <w:pStyle w:val="Heading2"/>
      </w:pPr>
      <w:r>
        <w:t>Erwägungen</w:t>
      </w:r>
    </w:p>
    <w:p>
      <w:r>
        <w:rPr>
          <w:b/>
        </w:rPr>
        <w:t>E. 1</w:t>
      </w:r>
    </w:p>
    <w:p>
      <w:r>
        <w:t>Interjeté dans les formes et délais légaux (art. 399 et 400 al. 3 let. b CPP) par une partie ayant qualité pour recourir (art. 381 al. 1 et 382 al. 1 CPP) contre le jugement d’un tribunal de première instance qui a clos la procédure (art. 398 al. 1 CPP), l’appel de P.________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 e éd., Bâle 2014, n. 1 ad art. 398 CPP).</w:t>
      </w:r>
    </w:p>
    <w:p>
      <w:r>
        <w:rPr>
          <w:b/>
        </w:rPr>
        <w:t>E. 3.1.1</w:t>
      </w:r>
    </w:p>
    <w:p>
      <w:r>
        <w:t>L’appelant a demandé l’audition de deux témoins, soit [...] et [...] pour établir l’intervalle temporel entre sa dernière consommation d’alcool au restaurant le Vieux Lausanne dans la soirée du 1er octobre 2020 et sa sortie de cet établissement, puis son interpellation au volant par la police le vendredi 2 octobre vers 1h15. Il requiert également la mise en œuvre de deux expertises, la première sur la nature, la fonctionnalité et les capacités des appareils de mesure utilisés lors du contrôle d’alcoolémie, leurs conditions d’utilisation et leur étalonnage ; la seconde pour déterminer son taux d’alcool au moment de la conduite automobile.</w:t>
      </w:r>
    </w:p>
    <w:p>
      <w:r>
        <w:rPr>
          <w:b/>
        </w:rPr>
        <w:t>E. 3.1.2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3.2.1</w:t>
      </w:r>
    </w:p>
    <w:p>
      <w:r>
        <w:t>S’agissant de la mesure d’instruction tendant aux auditions de […] et de […] en qualité de témoin, elle avait déjà été présentée en première instance, et avait été refusée par le premier juge avant les débats, à juste titre. En effet, l’administration de cette preuve est inutile ; le témoin [...], également présent le soir en question durant la dégustation de vins jusqu’à 21 heures environ a en effet déjà été entendu par le Tribunal de police et, surtout, le détail de l’alcool consommé n’est pas déterminant pour apprécier la mesure effectuée. Le moment de l’interruption de cette consommation n’est pas davantage décisif, dès lors que la preuve du respect de l’intervalle nécessaire de non-consommation avant la mesure est déjà établi.</w:t>
      </w:r>
    </w:p>
    <w:p>
      <w:r>
        <w:rPr>
          <w:b/>
        </w:rPr>
        <w:t>E. 3.2.2</w:t>
      </w:r>
    </w:p>
    <w:p>
      <w:r>
        <w:t>S’agissant des requêtes d’expertise, le premier juge a déjà rejeté semblables requêtes pour les motifs que tant l’éthylotest que l’éthylomètre utilisés avaient fait l’objet de certificats de vérification, que les policiers ayant procédé aux mesures étaient formés à cette procédure, et que le prévenu avait signé un document indiquant le résultat de la mesure à l’éthylomètre et renoncé à une prise de sang. Ces motifs sont pertinents et conduisent à refuser ces expertises.</w:t>
      </w:r>
    </w:p>
    <w:p>
      <w:r>
        <w:rPr>
          <w:b/>
        </w:rPr>
        <w:t>E. 4</w:t>
      </w:r>
    </w:p>
    <w:p>
      <w:r>
        <w:t>ch. 1 OIAA), effectuée chaque année par METAS ou par un laboratoire de vérification habilité (let. a), à l'entretien (annexe 7 ch. 7 OIMes) ainsi qu'à l'ajustage (annexe</w:t>
      </w:r>
    </w:p>
    <w:p>
      <w:r>
        <w:rPr>
          <w:b/>
        </w:rPr>
        <w:t>E. 4.1</w:t>
      </w:r>
    </w:p>
    <w:p>
      <w:r>
        <w:t>Condamné pour la commission du délit d’avoir conduit un véhicule en état d’ébriété en présentant un taux d’alcool qualifié dans le sang ou dans l’haleine (art. 91 al. 2 LCR), soit dans le cas d’espèce un taux d’alcool dans l’haleine de 0,4 milligramme ou plus par litre d’air expiré, l’appelant fait valoir une constatation erronée des faits et formule toute une série de griefs à l’encontre du jugement attaqué (cf. consid. 4.3 infra). Il conteste également les mesures effectuées en mettant en cause la fiabilité des appareils utilisés et la régularité de la procédure appliquée.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L’arrêt du Tribunal fédéral 6B_533/2020 (consid. 3.1.1 à 3.1.3) du 16 septembre 2020 portant sur la régularité de deux contrôles à l’éthylotest comporte les passages suivants : « Selon l'art. 91 LCR, est puni de l'amende quiconque conduit un véhicule automobile en état d'ébriété (al. 1 let. a). Est puni d'une peine privative de liberté de trois ans au plus ou d'une peine pécuniaire quiconque conduit un véhicule automobile en état d'ébriété et présente un taux d'alcool qualifié dans le sang ou dans l'haleine (al. 2 let. a) . L'ordonnance de l'Assemblée fédérale concernant les taux limites d'alcool admis en matière de circulation routière (RS 741. 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L'art. 55 LCR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 Ce dernier alinéa, entré en vigueur le 1er octobre 2016, crée la base légale permettant de reconnaître force probante à la constatation de l'ébriété par la mesure du taux d'alcool dans l'air expiré, au moyen d'un éthylomètre (Message du Conseil fédéral concernant Via secura, le programme d'action de la Confédération visant à renforcer la sécurité routière, du 20 octobre 2010, FF 2010 7703 ss, ch. 1.3.2.16). Cela a mis fin au système de la " primauté de la prise de sang " (v. ATF 129 IV 290 consid. 2.7 p. 295). Aux termes de l'art. 10a al. 1 de l'ordonnance sur le contrôle de la circulation routière du 28 mars 2007 (OCCR; RS 741.013), le contrôle de l'alcool dans l'air expiré peut être effectué au moyen d'un éthylotest au sens de l'art. 11 (let. a) ou d'un éthylomètre au sens de l'art. 11a (let. b). Dans cette teneur de la norme, le vocable " éthylotest ", désigne ce que le texte dénommait antérieurement " éthylomètre ", à la différence que cet appareil affichait, après conversion à l'aide d'un facteur 2000, l'alcoolémie exprimée en g/kg (pour-mille) de sang et non le taux d'alcool dans l'haleine exprimé en g/l d'air expiré. Selon la terminologie actuelle, l'éthylotest est un instrument de mesure qui détermine la concentration massique d'alcool dans l'air expiré et l'éthylomètre celui qui détermine et affiche, de manière redondante et dans des conditions d'échantillonnage contrôlées, la concentration massique d'alcool dans l'air expiré (art. 3 let. c et d de l'ordonnance du DFJP du 30 janvier 2015 sur les instruments de mesure d'alcool dans l'air expiré; OIAA; RS 941.210.4; v. aussi THOMAS BRIELLMANN, Atemalkoholmessung aus rechtsmedizinischer Sicht, Jahrbuch zum Strassenverkehrsrecht 2018, p. 274 ss). En cas de recours à l'éthylotest, l'art. 11 OCCR précise que le contrôle peut avoir lieu au plus tôt après un délai d'attente de 20 minutes (al. 1 let. a), ou après que la personne contrôlée s'est rincé la bouche, conformément aux indications éventuelles du fabricant de l'appareil (al. 1 let. b). Il y a lieu d'effectuer deux mesures. Si elles divergent de plus de 0,05 mg/l, il faut procéder à deux nouvelles mesures. Si la différence dépasse de nouveau 0,05 mg/l et s'il y a des indices de consommation d'alcool, il y a lieu d'effectuer un contrôle au moyen d'un éthylomètre ou d'ordonner une prise de sang (al. 2). Le résultat inférieur des deux mesures est déterminant. La personne concernée peut reconnaître celui-ci par sa signature, notamment s'il correspond, pour les personnes qui conduisaient un véhicule automobile, à 0,25 mg/l ou plus, mais moins de 0,40 mg/l (al. 3 let. a). Conformément à l'art. 11a OCCR, le contrôle effectué au moyen d'un éthylomètre peut avoir lieu au plus tôt après un délai d'attente de dix minutes (al. 1). Si l'éthylomètre décèle la présence d'alcool dans la bouche, il faut attendre au moins cinq minutes supplémentaires pour effectuer le contrôle (al. 2). Les éthylotests et éthylomètres doivent répondre aux exigences de l'Ordonnance du 15 février 2006 sur les instruments de mesure (OIMes; RS 941.210) et des prescriptions d'exécution du Département fédéral de justice et police (art. 11 al. 4 et 11a al. 3 OCCR). L'OFROU en règle le maniement (art. 11 al. 5 et 11a al. 4 OCCR). En application de cette délégation de compétence, l'OFROU a précisé, s'il en était besoin, que les éthylotests et les éthylomètres doivent être utilisés conformément à la notice d'emploi du fabricant (art. 19 Ordonnance de l'OFROU concernant l'ordonnance sur le contrôle de la circulation routière [OOCCR-OFROU] du 22 mai 2008; RS 741.13.1). Aucune déduction n'est appliquée aux valeurs affichées par ces deux types d'appareils (art. 20 OOCCR-OFROU). Les instruments de mesure destinés à la détermination officielle de faits matériels pour lesquels le Département fédéral de justice et police a édicté dans une ordonnance les prescriptions nécessaires spécifiques (cf. OIAA précitée), sont également soumis à l'OIMes (art. 3 al. 1 let. a ch. 5 et let. b OIMes). Dite ordonnance règle, outre la mise sur le marché, les contrôles ultérieurs permettant de garantir que ces appareils continuent à répondre aux exigences fixées initialement pendant toute la durée de leur utilisation (art. 20 OIMes), soit le contrôle ultérieur de la stabilité (art. 24 OIMes). Les procédures destinées à maintenir la stabilité de mesure sont décrites dans l'Annexe 7 à l'OIMes, soit en particulier la vérification ultérieure, avec, au besoin délivrance d'un certificat de vérification ou de conformité (Annexe 7 OIMes ch. 1.3) et l'étalonnage, avec contrôle du respect des erreurs maximales tolérées et délivrance d'un certificat d'étalonnage (Annexe 7 OIMes ch. 6.3). L'OOCCR-OFROU, de même que l'OCCR (art. 11 al. 4 et 11a al. 3 OCCR), renvoient en outre aux règles de l'OIAA, qui déterminent notamment les exigences spécifiques afférentes aux instruments de mesure d'alcool dans l'air expiré et les procédures destinées à maintenir la stabilité de mesure de ces instruments (art. 1 let. a et c OIAA). Conformément à ces règles, les éthylomètres doivent répondre aux exigences essentielles fixées à l'annexe 1 de l'OIMes et à l'annexe 3 OIAA (art. 8 OIAA), qui concernent en particulier l'étendue des mesures, les conditions de fonctionnement nominales ainsi que les erreurs maximales tolérées. Ces instruments doivent être soumis à diverses procédures destinées à assurer le maintien de la stabilité de mesure. Sur ce point, l'art. 10 OIAA renvoie également à l'OIMes et l'art. 24 al. 3 de cette dernière ordonnance réserve les règles ressortant des ordonnances sur les instruments de mesure spécifiques quant aux procédures applicables à chaque instrument de mesure ainsi que la fréquence des contrôles (art. 24 al. 3 OIMes). S'agissant des éthylomètres, en particulier, l'art. 10 OIAA soumet ces appareils à la vérification ultérieure conformément à l'annexe 7 ch. 1 OIMes (v. aussi l'annexe</w:t>
      </w:r>
    </w:p>
    <w:p>
      <w:r>
        <w:rPr>
          <w:b/>
        </w:rPr>
        <w:t>E. 4.2.3</w:t>
      </w:r>
    </w:p>
    <w:p>
      <w:r>
        <w:t>Le Tribunal fédéral considère également (cf. TF 6B _571/2019 du 17 juillet 2019 consid. 1.4), que l'élaboration du rapport exigé à l'art. 13 al. 3 OCCR ne constitue pas une règle de validité au sens de l'art. 141 al. 2 CPP, mais uniquement une prescription d'ordre dont la violation n'entraîne pas l'inexploitabilité des preuves ainsi recueillies.</w:t>
      </w:r>
    </w:p>
    <w:p>
      <w:r>
        <w:rPr>
          <w:b/>
        </w:rPr>
        <w:t>E. 4.3.1</w:t>
      </w:r>
    </w:p>
    <w:p>
      <w:r>
        <w:t>P.________ discerne tout d’abord une constatation erronée des faits dans la mesure où le jugement ne relèverait pas qu’il n’y aurait pas eu quatre tests comme la procédure l’exigerait, mais uniquement trois. Par ailleurs le jugement ne soulignerait pas que les mesures n’ont pas été prises avec deux appareils distincts au lieu d’un seul appareil. En l’occurrence, le jugement, qui indique le nombre de mesures et les appareils utilisés, ne comporte aucune inexactitude dans ces constatations de faits. Pour le reste, l’appelant se plaint d’irrégularités dans la procédure, soit de violations du droit, qui seront traitées ci-après (cf. consid. 5 infra).</w:t>
      </w:r>
    </w:p>
    <w:p>
      <w:r>
        <w:rPr>
          <w:b/>
        </w:rPr>
        <w:t>E. 4.3.2</w:t>
      </w:r>
    </w:p>
    <w:p>
      <w:r>
        <w:t>L’appelant estime que le jugement serait factuellement incomplet dans la mesure où il ne se prononcerait pas sur le laps de temps séparant sa dernière ingestion d’alcool du moment de la mesure à l’éthylomètre. Il relève que les deux autres convives auraient dû et devraient encore être entendus comme témoins pour préciser cette chronologie (heure de la dernière ingestion d’alcool et heure de la mesure) nécessaire à l’application de l’art. 11a al. 1 et 2 OCCR, soit l’expiration d’un délai de dix minutes, allongé de cinq minutes si l’éthylomètre détecte la présence d’alcool dans la bouche. En l’espèce, il vrai que le jugement ne résout qu’implicitement cette question. Toutefois selon l’appelant lui-même le trajet motorisé qu’il a effectué la nuit en question prend une vingtaine de minutes et, au début du contrôle de police, il a dûment attesté que plus de 20 minutes s’étaient écoulées depuis sa dernière consommation, si bien que la mesure effectuée à 1h36 et 58 secondes, soit environ 26 minutes après le début du contrôle, respecte amplement le délai d’attente nécessaire à sa validation. Autant que de besoin, l’état de fait est donc complété en ce sens.</w:t>
      </w:r>
    </w:p>
    <w:p>
      <w:r>
        <w:rPr>
          <w:b/>
        </w:rPr>
        <w:t>E. 4.3.3</w:t>
      </w:r>
    </w:p>
    <w:p>
      <w:r>
        <w:t>L’appelant relève ensuite que l’état de fait du jugement entrepris serait incomplet en raison du fait qu’il ne mentionnerait pas le respect ou la violation de la durée d’attente prévue à l’art. 11 al. 2 OCCR, qui prévoit que si l’éthylomètre décèle la présence d’alcool dans la bouche, il faut attendre au moins cinq minutes supplémentaires pour effectuer le contrôle. Outre qu’il s’agit à nouveau d’une question de droit, l’état de fait du jugement permet de comprendre que la présence d’alcool dans la bouche du conducteur n’a pas été détectée, mais uniquement la présence d’alcool dans son haleine, si bien que ce bref délai supplémentaire ne s’appliquait pas. De toute manière, la chronologie déduite des indications données par le conducteur et la durée du contrôle permettent de se convaincre que le délai d’attente, même prolongé de 5 minutes, a été largement respecté.</w:t>
      </w:r>
    </w:p>
    <w:p>
      <w:r>
        <w:rPr>
          <w:b/>
        </w:rPr>
        <w:t>E. 4.3.4</w:t>
      </w:r>
    </w:p>
    <w:p>
      <w:r>
        <w:t>De la même manière, l’appelant se plaint de défaillances dans le suivi de la séquence des mesures prévues à l’art. 11 al. 2 OCCR. Cet alinéa d’une disposition qui traite du contrôle au moyen d’un éthylotest et de la reconnaissance des valeurs fournies par cet appareil a la teneur suivante : « Il y a lieu d’effectuer deux mesures pour le contrôle. Si elles divergent de plus de 0,05 mg/l, il faut procéder à deux nouvelles mesures. Si la différence dépasse de nouveau 0,05 mg/l et s’il y a des indices de consommation d’alcool, il y a lieu d’effectuer un contrôle au moyen d’un éthylomètre ou d’ordonner une prise de sang ». Comme l’écart de 0,06 mg entre les deux mesures à l’éthylotest dépassait 0,05 mg, l’appelant affirme qu’il aurait dû être soumis à une nouvelle double mesure avec cet appareil. Ce faisant, il feint toutefois d’ignorer que les mesures faites à l’éthylotest n’ont servi que d’indicateur et non de preuve formelle suffisante d’une alcoolémie qualifiée et que les policiers ont alors directement opté pour un contrôle à l’éthylomètre conformément à l’art. 11a OCCR. Le moyen doit être rejeté. S’agissant du contrôle avec l’éthylomètre, l’art. 11a al. 4 OCCR donne à l’OFROU la compétence de régler le maniement de cet appareil. L’Ordonnance de l’OROU concernant l’ordonnance sur le contrôle de la circulation routière du 22 mai 2008 (OOCCR-OFROU ; RS 741.013.1) ne mentionne toutefois pas cette disposition comme base légale et son article 26 al. 1 bis se limite à dire qu’en cas de contrôle à l’éthylomètre, il faut veiller à ce que la mesure puisse être attribuée à la personne contrôlée. L’annexe 2 à cette ordonnance intitulée « rapport lorsqu’une personne est suspectée d’incapacité de conduire (notamment de consommation d’alcool, de stupéfiants, ou de surmenage) et confirmation du mandat de procéder à un prélèvement de sang ou d’urine » et l’art. 26 al. 1 de la même ordonnance imposent que ce rapport soit complété uniquement lors d’un contrôle à l’éthylotest. D’ailleurs, seul le chiffre 10.2 du rapport se réfère formellement au contrôle avec un éthylomètre et exige uniquement que l’auteur du contrôle relève le numéro de série de l’appareil, la mesure en mg/l, la date et l’heure, soit des données qui, dans le cas d’espèce, ont toutes été relevées (cf. P. 4). Par conséquent, les critiques de l’appelant qui se plaint d’un rapport aux rubriques impératives incomplètement remplies tombent à faux s’agissant du contrôle effectué avec l’éthylomètre, seul décisif.</w:t>
      </w:r>
    </w:p>
    <w:p>
      <w:r>
        <w:rPr>
          <w:b/>
        </w:rPr>
        <w:t>E. 4.3.5</w:t>
      </w:r>
    </w:p>
    <w:p>
      <w:r>
        <w:t>S’agissant de la fiabilité des appareils utilisés, P.________ a tout d’abord soufflé à deux reprises dans l’éthylotest Alco True P n° 19100203, vérifié par le METAS le 29 janvier 2020 pour une validité certifiée jusqu’au 31 janvier 2021 (P. 11) et ayant fait l’objet de mesures contrôlées par Labtec Safety le 27 juillet 2020. Puis, une fois dans les locaux de la police régionale, il a soufflé dans l’éthylomètre Intoxilyzer n° 90-002472, vérifié par METAS le 5 novembre 2019 pour une validité s’étendant jusqu’au 30 novembre 2020 et ayant fait l’objet de mesures de contrôle par Labtec Safety le 4 novembre 2019 (P. 11). La conformité des appareils utilisés ne prête ainsi pas le flanc à la critique.</w:t>
      </w:r>
    </w:p>
    <w:p>
      <w:r>
        <w:rPr>
          <w:b/>
        </w:rPr>
        <w:t>E. 4.3.6</w:t>
      </w:r>
    </w:p>
    <w:p>
      <w:r>
        <w:t>Enfin, l’appelant entend rétracter l’expression, par sa signature, de son accord écrit aux résultats du contrôle. Il invoque à cet égard, non sans incohérence, son imprégnation alcoolique. S’il était objectivement inapte à la conduite, rien dans le déroulement du contrôle n’accrédite la thèse d’une incapacité de discernement passagère l’empêchant de se déterminer valablement sur la mesure fatidique, le temps supérieur à 20 minutes écoulé depuis sa dernière ingestion d’alcool, ou encore sur les conséquences immédiates de sa faute sur son droit de conduire. Ce moyen, mal fondé, sera rejeté.</w:t>
      </w:r>
    </w:p>
    <w:p>
      <w:r>
        <w:rPr>
          <w:b/>
        </w:rPr>
        <w:t>E. 4.4</w:t>
      </w:r>
    </w:p>
    <w:p>
      <w:r>
        <w:t>En définitive, sous réserve de la précision apportée ci-dessus, l’état de fait ne nécessite ni complément, ni correction. 5. L’appelant invoque une prétendue invalidité juridique de la mesure en raison de violation de dispositions de l’OCCR et de l’OOCCR-OFROU. Ces griefs ont déjà été abordés ci-dessus (cf. consid. 4.2 et 4.3 supra) et sont dépourvus de toute pertinence. Le contrôle effectué avec l’éthylomètre, seul déterminant pour le sort de l’action pénale, s’est déroulé conformément aux exigences légales, l’appelant en a expressément reconnu le résultat. 6. En définitive, c’est à juste titre que les premiers juges ont reconnu P.________ coupable de l’infraction de « conducteur se trouvant dans l'incapacité de conduire » au sens de l’art. 91 al. 2 let. a LCR.</w:t>
      </w:r>
    </w:p>
    <w:p>
      <w:r>
        <w:rPr>
          <w:b/>
        </w:rPr>
        <w:t>E. 7</w:t>
      </w:r>
    </w:p>
    <w:p>
      <w:r>
        <w:t>ch. 8 OIMes), réalisés au minimum une fois par an par une personne compétente (let. b et c). Quant au ch. 1 de l'Annexe 4 OIAA (Vérifications initiale et ultérieure), il dispose que les éthylomètres sont vérifiés dans des conditions de laboratoire. Les erreurs maximales tolérées lors de la vérification ultérieure équivalent aux deux tiers des erreurs maximales tolérées dans les conditions de fonctionnement nominales définies à l'annexe 3 ch. 4. Cette norme réserve toutefois à METAS de déterminer la procédure de vérification ultérieure au cas par cas selon le type d'instrument mesureur (ch. 1.1). La méthode de Dubowski telle qu'elle est décrite dans la recommandation OIML R 126 doit être employée pour créer des mélanges d'alcool (ch. 1.2). En cas de dysfonctionnement de l'appareil ou de doutes quant à la précision des mesures, les éthylotests et les éthylomètres ne peuvent être réutilisés qu'après avoir subi une procédure de maintien de la stabilité de mesure conformément à l'OIAA, soit un entretien au sens de l'art. 6, let. b, OIAA et un ajustage au sens de l'art. 6, let. c, OIAA pour les éthylotests (let. a), une vérification ultérieure au sens de l'art. 10, let. a, OIAA, un entretien au sens de l'art. 10, let. b, OIAA et un ajustage au sens de l'art. 10, let. c, OIAA pour les éthylomètres (let. b). On retiendra de ce dispositif réglementaire complexe et tout au moins partiellement redondant, que l'éthylomètre doit, en plus de l'entretien et de l'ajustage, faire l'objet d'une vérification annuelle, qui doit être effectuée par METAS ou un laboratoire habilité et qu'il incombe à METAS de déterminer la procédure de vérification ultérieure des éthylomètres, au cas par cas ».</w:t>
      </w:r>
    </w:p>
    <w:p>
      <w:r>
        <w:rPr>
          <w:b/>
        </w:rPr>
        <w:t>E. 7.1</w:t>
      </w:r>
    </w:p>
    <w:p>
      <w:r>
        <w:t>A titre subsidiaire, l’appelant soutient que la peine infligée, notamment l’absence de sursis, est trop sévère et qu’une peine ferme n’est pas nécessaire.</w:t>
      </w:r>
    </w:p>
    <w:p>
      <w:r>
        <w:rPr>
          <w:b/>
        </w:rPr>
        <w:t>E. 7.2.1</w:t>
      </w:r>
    </w:p>
    <w:p>
      <w:r>
        <w:t>Aux termes de l’art. 91 al. 2 let. a LCR, est puni d’une peine privative de liberté de trois ans au plus ou d’une peine pécuniaire quiconque conduit un véhicule automobile en état d’ébriété et présente un taux d’alcool qualifié dans le sang ou dans l’haleine.</w:t>
      </w:r>
    </w:p>
    <w:p>
      <w:r>
        <w:rPr>
          <w:b/>
        </w:rPr>
        <w:t>E. 7.2.2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7.2.3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w:t>
      </w:r>
    </w:p>
    <w:p>
      <w:r>
        <w:rPr>
          <w:b/>
        </w:rPr>
        <w:t>E. 7.3</w:t>
      </w:r>
    </w:p>
    <w:p>
      <w:r>
        <w:t>En l’occurrence, la peine pécuniaire ferme de 90 jours-amende à 50 fr. l’unité infligée par les premiers juges à P.________ est adéquate. Ceux-ci ont retenu que l’intéressé avait déjà été condamné en août 2016 pour ivresse au volant avec un taux d’alcool qualifié, qu’il avait réitéré le 2 octobre 2020, avec un taux élevé de 0,79 mg/l ce qui dénotait un déni manifeste des problèmes d’alcool au volant et une absence de scrupules de sa part au vu des risques qu’il faisait courir aux autres usagers de la route. Ils ont retenu qu’avec un tel taux, sa responsabilité était entière. Les premiers juges ont également relevé que le prévenu persistait à contester le taux d’alcool mesuré, ce qui dénotait une absence totale de prise de conscience dans la mesure où il considère qu’il était apte à conduire. A sa décharge, ils ont tenu compte du fait que P.________ avait désormais pris l’habitude de rentrer régulièrement en train ou en taxi afin d’éviter tout risque de conduite sous l’effet de l’alcool. Cette argumentation peut être suivie. Les critiques formulées par l’appelant, qui explique que les premiers juges n’auraient fait aucune pondération entre les différents facteurs aggravants et à décharge, ne se vérifient pas. Par ailleurs, s’agissant du sursis, P.________ a déclaré en appel qu’il avait été particulièrement vigilant en matière d’alcool et de conduite durant le délai d’épreuve de son précédent sursis. Cette attitude démontre qu’une fois passée la menace de la révocation du sursis accordé en 2016, P.________ s’est cru autorisé à transgresser la sécurité routière, ce qui induit un pronostic défavorable conduisant au prononcé d’une peine ferme. Le fait que la dégustation de vin n’était pas annoncée ou encore que l’intéressé indique qu’il se sentait apte à conduire n’y change rien.</w:t>
      </w:r>
    </w:p>
    <w:p>
      <w:r>
        <w:rPr>
          <w:b/>
        </w:rPr>
        <w:t>E. 8</w:t>
      </w:r>
    </w:p>
    <w:p>
      <w:r>
        <w:t>Vu l’issue de la cause, l’émolument d’appel, par 2’570 fr. (art. 21 al. 1 et 2 TFIP [Tarif des frais de procédure et indemnités en matière pénale du 28 septembre 2010; RSV 312.03.1]) sera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