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80 vom 11. November 2020</w:t>
      </w:r>
    </w:p>
    <w:p>
      <w:r>
        <w:t>VD Tribunal cantonal, 2020-11-11, FR</w:t>
      </w:r>
    </w:p>
    <w:p>
      <w:r>
        <w:rPr>
          <w:b/>
        </w:rPr>
        <w:t xml:space="preserve">Quelle: </w:t>
      </w:r>
      <w:r>
        <w:t>https://mcp.opencaselaw.ch/entscheid/vd_findinfo_Jug___2021___80</w:t>
      </w:r>
    </w:p>
    <w:p>
      <w:r>
        <w:t>FR: VD_FINDINFO Jug / 2021 / 80 du 11 novembre 2020</w:t>
      </w:r>
    </w:p>
    <w:p>
      <w:r>
        <w:t>IT: VD_FINDINFO Jug / 2021 / 80 del 11 novembre 2020</w:t>
      </w:r>
    </w:p>
    <w:p>
      <w:pPr>
        <w:pStyle w:val="Heading2"/>
      </w:pPr>
      <w:r>
        <w:t>Regeste</w:t>
      </w:r>
    </w:p>
    <w:p>
      <w:r>
        <w:t>ABUS DE CONFIANCE, DIMINUTION EFFECTIVE DE L'ACTIF, VIOLATION DE L'OBLIGATION DE TENIR UNE COMPTABILITÉ, FIXATION DE LA PEINE | 138 CP, 164 CP, 166 CP</w:t>
      </w:r>
    </w:p>
    <w:p>
      <w:pPr>
        <w:pStyle w:val="Heading2"/>
      </w:pPr>
      <w:r>
        <w:t>Erwägungen</w:t>
      </w:r>
    </w:p>
    <w:p>
      <w:r>
        <w:rPr>
          <w:b/>
        </w:rPr>
        <w:t>E. 1</w:t>
      </w:r>
    </w:p>
    <w:p>
      <w:r>
        <w:t>Interjeté dans les formes et délais légaux (art. 399 CPP [Code de procédure pénale suisse du 5 octobre 2007 ; RS 312.0] ), par une partie ayant qualité pour recourir (art. 382 al. 1 CPP) contre le jugement d’un tribunal de première instance qui a clos la procédure (art. 398 al. 1 CPP), l’appel de D.________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 e éd., Bâle 2014, n. 1 ad art. 398 CPP).</w:t>
      </w:r>
    </w:p>
    <w:p>
      <w:r>
        <w:rPr>
          <w:b/>
        </w:rPr>
        <w:t>E. 3.1</w:t>
      </w:r>
    </w:p>
    <w:p>
      <w:r>
        <w:t>L’appelante conteste que les éléments objectifs et subjectif de l’infraction de violation de l’obligation de tenir une comptabilité soient réunis. Avec les pièces qu’elle avait fournies, il était possible de reconstituer une comptabilité sans trop d’efforts. Par ailleurs, comme elle avait mandaté une fiduciaire pour tenir la comptabilité, on ne pouvait lui reprocher d’avoir négligé ses devoirs.</w:t>
      </w:r>
    </w:p>
    <w:p>
      <w:r>
        <w:rPr>
          <w:b/>
        </w:rPr>
        <w:t>E. 3.2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du 4 juillet 2003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 citée).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 op. cit., n. 10 ad art. 166 CP).</w:t>
      </w:r>
    </w:p>
    <w:p>
      <w:r>
        <w:rPr>
          <w:b/>
        </w:rPr>
        <w:t>E. 3.3</w:t>
      </w:r>
    </w:p>
    <w:p>
      <w:r>
        <w:t>Le premier juge a considéré qu’il appartenait à la prévenue de « se retourner » contre sa fiduciaire si elle estimait que le travail n’avait pas été correctement effectué, qu’on ne pouvait pas reprocher à l’Office des faillites ou au Ministère public de ne pas avoir tenté de reconstituer la comptabilité par une expertise. Enfin, les pièces remises à cet office ne permettant pas d’établir la situation complète de la société, notamment ce qu’il était advenu du solde du prix de vente, l’infraction était bien réalisée. En l’occurrence, le raisonnement du premier juge ne prête pas le flanc à la critique. En effet, à l’issue de l’instruction pénale, on ne dispose toujours d’aucune pièce comptable incontestable permettant de savoir, non seulement quand et comment le prix de vente a été payé, mais aussi ce qu’il est advenu de cet argent qui, selon la dénonciation, n’apparaît dans aucun document. D.________ va jusqu’à contester l’avoir reçu intégralement. Le prix a été encaissé en liquide, sans reçu. Le juge pénal en est donc réduit à apprécier les pièces peu claires et les déclarations des uns et des autres pour se forger une opinion. Ainsi, même une expertise n’aboutirait pas. Lorsqu’elle a décidé de vendre le fonds de commerce puis la société, l’appelante devait bien se rendre compte qu’elle n’avait pas de comptabilité digne de ce nom pour l’année 2017 et mandater une autre fiduciaire si la première ne faisait pas son travail. C’est en vain qu’elle soutient que si on ne trouve pas trace du solde du prix de vente, c’est parce qu’elle ne l’a pas reçu. Le problème ne concerne donc pas que ces 70'000 francs.</w:t>
      </w:r>
    </w:p>
    <w:p>
      <w:r>
        <w:rPr>
          <w:b/>
        </w:rPr>
        <w:t>E. 4.1</w:t>
      </w:r>
    </w:p>
    <w:p>
      <w:r>
        <w:t>D.________ reproche encore au premier juge d’avoir mal analysé le témoignage de son comptable et d’avoir ainsi violé la présomption d’innocence. Elle s’attache à démontrer que ce témoignage, au sujet de la prétendue résiliation du mandat courant 2017 par la fiduciaire pour cause de non-paiement de ses honoraires, ne serait pas crédible et qu’un bilan aurait bien été établi à la fin de 2017.</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 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 ; Kistler Vianin, op. cit., nn. 19 ss ad art. 398 CPP).</w:t>
      </w:r>
    </w:p>
    <w:p>
      <w:r>
        <w:rPr>
          <w:b/>
        </w:rPr>
        <w:t>E. 4.3</w:t>
      </w:r>
    </w:p>
    <w:p>
      <w:r>
        <w:t>En l’occurrence, les déclarations du comptable [...] au sujet de la fin de son mandat ne sont pas déterminantes. Que le mandat n’ait pas été résilié courant 2017 par la fiduciaire pour cause de non-paiement de ses honoraires comme le soutient l’appelante, ne change rien. Si un bilan avait été établi à fin 2017, D.________ l’aurait eu en sa possession et l’aurait transmis avec le reste des documents à l’Office des faillites ; si elle ne l’avait pas reçu, elle aurait dû mandater une autre fiduciaire afin de mettre la comptabilité de la G.________ en ordre. Mal fondé, le deuxième moyen de l’appelante doit être rejeté.</w:t>
      </w:r>
    </w:p>
    <w:p>
      <w:r>
        <w:rPr>
          <w:b/>
        </w:rPr>
        <w:t>E. 5.1</w:t>
      </w:r>
    </w:p>
    <w:p>
      <w:r>
        <w:t>D.________ conteste encore s’être rendue coupable d’abus de confiance. Elle soutient tout d’abord qu’elle n’aurait touché que 90'000 fr. sur le prix de vente et pas 160'000 francs et que les acheteurs mentiraient à ce propos. L’appelante relève que les acheteurs n’auraient pas donné suite aux réquisitions du parquet ni à la convocation du Tribunal. Selon elle, les parties auraient convenu de ramener le solde dû de 70'000 fr. à 40'000 fr., payable en acomptes mensuels. Une reconnaissance de dette aurait été signée en ce sens. En retenant le contraire le Tribunal aurait violé le principe in dubio pro reo . L’appelante conteste ensuite avoir utilisé le prix de vente à son profit personnel. Les 6'000 fr. qu’elle admet avoir perçus l’auraient été à titre des salaires qui lui étaient dus. Les 84'000 fr. restant auraient été utilisés pour payer des factures de l’entreprise. L’appelante reproche ainsi au premier juge d’avoir retenu le contraire sur la base de la seule dénonciation de l’Office des faillites, sans examiner plus avant les pièces comptables. Une expertise aurait permis d’établir l’utilisation de l’argent.</w:t>
      </w:r>
    </w:p>
    <w:p>
      <w:r>
        <w:rPr>
          <w:b/>
        </w:rPr>
        <w:t>E. 5.2.1</w:t>
      </w:r>
    </w:p>
    <w:p>
      <w:r>
        <w:t>Les principes relatifs à la présomption d’innocente ont été rappelés plus haut (cf. consid. 4.2 supra).</w:t>
      </w:r>
    </w:p>
    <w:p>
      <w:r>
        <w:rPr>
          <w:b/>
        </w:rPr>
        <w:t>E. 5.2.2</w:t>
      </w:r>
    </w:p>
    <w:p>
      <w:r>
        <w:t>Aux termes de l'art. 138 ch. 1 al. 2 CP, se rend coupable d'abus de confiance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 e éd., Berne 2010, n. 4 ad art. 138 CP ; ATF 133 IV 21 consid. 6.2 ; TF 6B_1043/2013 du 4 juillet 2014 consid. 3.1.1). Lorsque l’auteur reçoit une valeur pour lui-même et non dans l’optique d’en conserver la contre-valeur pour le compte d’autrui, il ne saurait être question d’une valeur patrimoniale confiée. Tel est par exemple le cas des contre-prestations correspondant à la prestation contractuellement promise et qui n’impliquent pas en elles-mêmes un devoir de conserver la contre-valeur reçue (ATF 133 IV 21 consid. 7 ; Dupuis et alii, Petit Commentaire du Code pénal, 2 e éd., Bâle 2017, n. 31 ad art. 138 CP).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 TF 6B_1043/2013 précité consid. 3.1.1). Du point de vue subjectif, l'auteur doit avoir agi intentionnellement et, même si le texte légal ne le précise pas expressément,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123 IV 155 consid. 1a ; ATF 121 IV 249 consid. 3a ; ATF 118 IV 32 consid. 2a ; TF 6B_1043/2013 précité consid. 3.1.1).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 Ersatzbereitschaft » ; ATF 118 IV 32 consid. 1a) ou encore s'il était en droit de compenser (ATF 105 IV 29 consid. 3a).</w:t>
      </w:r>
    </w:p>
    <w:p>
      <w:r>
        <w:rPr>
          <w:b/>
        </w:rPr>
        <w:t>E. 5.3</w:t>
      </w:r>
    </w:p>
    <w:p>
      <w:r>
        <w:t>En l’occurrence, comme la cour de céans a déjà eu l’occasion de le rappeler plus haut, il faut se forger une conviction sur la base des déclarations et des pièces, qui ne sont pas toujours très claires, figurant au dossier. Si on suit l’hypothèse que les trois acheteurs ont convenu d’un mensonge commun, le moins que l’on puisse dire c’est qu’il n’a pas été très bien préparé. Chacun y va de son explication sur les évènements et les circonstances. Souvent, les intéressés sont incapables de répondre aux questions. La version de la prévenue n’est toutefois pas plus logique. En outre, les pièces figurant au dossier vont plutôt dans le sens des explications des acheteurs. Ainsi, sur la convention de vente, la prévenue a signé deux quittances, une en page 3 sous la mention du solde de 70'000 fr., et l’autre à la fin du document, avec le mention « solde de tout compte ». La reconnaissance de dette de 40'000 fr. qui date du 20 janvier 2018 (P. 5/7 et 5/17 superposables) semble ainsi concerner le deuxième acompte du prix de vente et non le solde de 70'000 fr. qui aurait été réduit d’un commun accord. Sur cette base c’est à juste titre qu’il a été retenu que le solde du prix avait été payé. S’agissant de l’utilisation de l’argent, c’est la prévenue elle-même (PV aud. 1 p. 10), qui indique avoir utilisé 6'000 fr. pour payer trois mois d’arriérés de son loyer privé. Elle a encore confirmé ses déclarations à l’audience d’appel. Elle n’a toutefois pas affirmé qu’il y avait des arriérés de salaire qui lui étaient dus ni n’a invoqué la compensation. Il y a donc bien eu abus de confiance pour la somme de 6'000 francs. Pour le reste, avec l’appelante, il faut bien admettre qu’il est difficile de retenir un abus de confiance, faute de connaître l’usage des fonds confiés. Se fondant sur l’acte d’accusation, les premiers juges ont considéré que les documents comptables remis par la prévenue à l’Office des faillites ne confirmaient pas que l’argent avait été utilisé pour payer des factures de l’entreprise. Toutefois, cet office n’a pas dénoncé la prévenue pour un abus de confiance, relevant seulement qu’il était impossible de déterminer ce qu’il était advenu du solde du produit de la vente. Certes, il appartenait à la prévenue d’en garder trace, mais cela lui est précisément  reproché sous la forme d’une violation de l’obligation de tenir une comptabilité. On ne peut pas suivre le premier juge lorsqu’il estime que D.________ ne peut tirer argument de sa propre incurie. Il appartient bien à l’accusation d’établir les faits punissables, ce qu’elle n’a pas fait à satisfaction. Au vu de ce qui précède, D.________ s’est rendue coupable d’un abus de confiance portant sur la somme de 6'000 fr. et non sur un montant de 160'000 fr. comme retenu par les premiers juges. Le troisième moyen de l’appelante doit être admis dans cette mesure.</w:t>
      </w:r>
    </w:p>
    <w:p>
      <w:r>
        <w:rPr>
          <w:b/>
        </w:rPr>
        <w:t>E. 6.1</w:t>
      </w:r>
    </w:p>
    <w:p>
      <w:r>
        <w:t>L’appelante, pour les mêmes motifs, conteste l’infraction de diminution effective de l’actif au préjudice des créanciers.</w:t>
      </w:r>
    </w:p>
    <w:p>
      <w:r>
        <w:rPr>
          <w:b/>
        </w:rPr>
        <w:t>E. 6.2</w:t>
      </w:r>
    </w:p>
    <w:p>
      <w:r>
        <w:t>Aux termes de l'art. 164 ch. 1 CP,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L'art. 164 CP vise à réprimer pénalement le comportement pour lequel les art. 285 et suivants LP prévoient l'action révocatoire (ou action paulienne; ATF 134 III 52 consid. 1.3.2 et 1.3.4). Il n'en découle pas pour autant que les conditions d'application de la norme pénale se superposent à celles présidant à l'exercice de l'action paulienne. L'art. 164 CP, à l'instar de l'art. 163 CP, constitue une infraction de mise en danger concrète. Il n'est donc pas nécessaire qu'un dommage concret survienne. Seul le comportement adopté par l'auteur doit être propre à causer un dommage (Corboz, Les infractions en droit suisse, vol. I, 3 e éd., 2010, n. 1 et 6 ad art. 163 CP; Donatsch, Strafrecht III, 11 e éd., 2018, p. 366; Trechsel et al., Schweizerisches Strafgesetzbuch, Praxiskommentar, 2008, n. 8 ad art. 163 CP; Müller, Distinction entre diminution fictive et diminution effective de l'actif au préjudice des créanciers (art. 163-164 CP), RPS 2008 p. 411 ss spéc. 415/416).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op. cit., n. 1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 4 et 13 ad art. 164 CP; Donatsch, op. cit., p. 368; Stratenwerth/Jenny/ Bommer, Schweizerisches Strafrecht, Bes. Teil I, 7 e éd., 2010, § 23 n. 20). L'énumération de l'art. 164 ch. 1 CP est exhaustive (ATF 131 IV 49 consid. 1.2 p. 51). Faute d'être mentionnée, l'aliénation d'un actif à sa valeur vénale ne peut être sanctionnée en vertu de cette disposition (cf. Message du Conseil fédéral du 24 avril 1991 concernant la modification du code pénal et du code pénal militaire [infractions contre le patrimoine et faux dans les titres] ainsi que modification de la loi fédérale sur l'approvisionnement économique du pays [dispositions pénales], FF 1991 II 933 ss, ch. 213.32 p. 1032; Corboz, op. cit., n. 13 ad art. 164). Il en va de même de l'augmentation du passif (cf. Corboz, op. cit., n. 16 ad art. 164 CP et réf. citées; Trechsel/Ogg, in: Trechsel/Pieth [éd.], Schweizerisches Strafgesetzbuch, Praxiskommentar, 3 e éd., 2008, n. 3 ad art. 164 CP).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 Seul le débiteur peut commettre l'infraction visée par l'art. 164 ch. 1 CP. Lorsqu'il s'agit d'une personne morale ou d'une société, les personnes visées par l'art. 172 aCP, désormais 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de l'al. 4 in fine de l'art. 172 aCP, respectivement du devoir particulier visé par l'art. 29 CP, les conditions objectives et subjectives de l'infraction spécifique en cause (cf. arrêt 6P.101/2001 du 28 novembre 2001 consid. 5a).</w:t>
      </w:r>
    </w:p>
    <w:p>
      <w:r>
        <w:rPr>
          <w:b/>
        </w:rPr>
        <w:t>E. 6.3</w:t>
      </w:r>
    </w:p>
    <w:p>
      <w:r>
        <w:t>En l’occurrence, la prévenue a vendu son fonds de commerce alors que cela allait mal financièrement (PV aud. 1 p. 4). Les dettes s’accumulaient. Elle admet que la G.________ n’avait plus eu d’activité entre le mois de mars et le mois de mai 2018 (PV aud. 1 p. 7). La faillite a été prononcée au mois d’août 2017 avec un passif de l’ordre de 25'000 francs. L’abus de confiance portant sur 6'000 fr. a réduit la masse disponible pour les créanciers, ce que D.________ ne pouvait ignorer. Le concours idéal des deux infractions en tant que tel n’est pas contesté. Le moyen doit être rejeté.</w:t>
      </w:r>
    </w:p>
    <w:p>
      <w:r>
        <w:rPr>
          <w:b/>
        </w:rPr>
        <w:t>E. 7.1</w:t>
      </w:r>
    </w:p>
    <w:p>
      <w:r>
        <w:t>L’abus de confiance portant sur un montant de 6'000 fr. et non sur le montant de 160'000 fr. tel que retenu par le premier juge, il y a lieu de revoir la peine à infliger à D.________.</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141 IV 61 consid. 6.1.1 et les réf. cit. ; TF 6B_654/2018 du 5 septembre 2018 consid. 3.1).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7.2.3</w:t>
      </w:r>
    </w:p>
    <w:p>
      <w:r>
        <w:t>L'art. 42 CP dispose que le juge suspend en règle générale l'exécution d'une peine pécuniaire ou d'une peine privative de liberté de deux ans au plus lorsqu'une peine ferme ne paraît pas nécessaire pour détourner l'auteur d'autres crimes ou délits (al. 1).</w:t>
      </w:r>
    </w:p>
    <w:p>
      <w:r>
        <w:rPr>
          <w:b/>
        </w:rPr>
        <w:t>E. 7.3</w:t>
      </w:r>
    </w:p>
    <w:p>
      <w:r>
        <w:t>La culpabilité de D.________, qui répond d’un concours d’infractions, doit être qualifiée de moyenne. Elle a plus pêché par légèreté que par goût du lucre. La prise de conscience de ses torts est à peu près nulle. Cependant, on peut suivre l’appelante lorsqu’elle requiert d’être condamnée à une peine pécuniaire. En effet, l’abus de confiance s’élève à 6'000 fr. – et non à 160'000 fr. – et D.________, née en 1968, n’a aucun antécédent. Les infractions des articles 138 CP (abus de confiance) et 164 CP (diminution effective de l’actif au préjudice des créanciers) ont la même peine-menace. En l’espèce, l’abus de confiance constitue, dans le cas concret, l’infraction la plus grave qui fonde l’infraction de base. Une peine de 45 jours-amende est adéquate. Cette peine doit être augmentée, par l'effet du concours, de 15 jours pour la diminution effective de l’actif au préjudice des créanciers et de 30 jours pour la violation de l’obligation de tenir une comptabilité. Au vu de la situation financière de l’appelante, le montant du jour amende peut être fixé à 10 fr., celle-ci étant au RI et ayant des dettes. Elle pourra bénéficier du sursis dès lors qu’elle en remplit les conditions. Il convient par ailleurs de condamner D.________ à une amende de 100 fr., convertible en 1 (un) jour de peine privative de liberté de substitution en cas de non-paiement dans le délai imparti, à titre de sanction immédiate (art. 42 al. 4 CP).</w:t>
      </w:r>
    </w:p>
    <w:p>
      <w:r>
        <w:rPr>
          <w:b/>
        </w:rPr>
        <w:t>E. 8.1</w:t>
      </w:r>
    </w:p>
    <w:p>
      <w:r>
        <w:t>D.________ conclut à ce que les frais de première instance soient laissés à la charge de l’Etat.</w:t>
      </w:r>
    </w:p>
    <w:p>
      <w:r>
        <w:rPr>
          <w:b/>
        </w:rPr>
        <w:t>E. 8.2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8.3</w:t>
      </w:r>
    </w:p>
    <w:p>
      <w:r>
        <w:t>En l’espèce, l’acquittement partiel de D.________ justifie qu’une partie des frais soit laissée à la charge de l’Etat. Cependant, en violant son obligation de tenir une comptabilité, la prénommée est à l’origine de la procédure et de tous les soupçons dont elle a fait l’objet. Partant, et pour tenir compte de sa situation financière difficile, dès lors qu’elle a perdu son dernier emploi en raison de la crise sanitaire, seule la moitié des frais de première instance, qui comprennent l’indemnité allouée à son défenseur d’office, sera mise à sa charge, le solde étant laissé à la charge de l’Etat.</w:t>
      </w:r>
    </w:p>
    <w:p>
      <w:r>
        <w:rPr>
          <w:b/>
        </w:rPr>
        <w:t>E. 9</w:t>
      </w:r>
    </w:p>
    <w:p>
      <w:r>
        <w:t>En définitive, l’appel de D.________ doit être partiellement admis et le jugement entrepris réformé dans le sens des considérants qui précèdent. Sur la base de la liste des opérations produite par le défenseur d'office de D.________, dont il n'y a pas lieu de s'écarter si ce n’est pour ajouter le temps de l’audience et rectifier le montant des débours comptés par erreur à 3%, c'est une indemnité de 1'747 fr. 55, correspondant à 1h54 heures d'activité d'avocat breveté au tarif horaire de 180 fr., et à 10h17 d’activité d’avocat-stagiaire au tarif horaire de 110 fr., plus des débours forfaitaires à concurrence de 2%, une vacation à 120 fr., et la TVA, qui doit être allouée à Me David Moinat. Vu l’issue de la cause, les frais de la procédure d’appel, par 4'017 fr. 55, constitués de l’émolument d’audience et de jugement, par 2’380 fr. (art. 21 al. 1 et 2 TFIP), ainsi que de l’indemnité allouée au défenseur d’office de l’appelante, par 1'747 fr. 55, seront mis par moitié, soit par 2'063 fr. 80, à la charge de D.________ (art. 428 al. 1, 1 re phrase, CPP), le solde étant laissé à la charge de l’Etat. L’appelante ne sera toutefois tenue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