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495 vom 28. Mai 2021</w:t>
      </w:r>
    </w:p>
    <w:p>
      <w:r>
        <w:t>VD Tribunal cantonal, 2021-05-28, FR</w:t>
      </w:r>
    </w:p>
    <w:p>
      <w:r>
        <w:rPr>
          <w:b/>
        </w:rPr>
        <w:t xml:space="preserve">Quelle: </w:t>
      </w:r>
      <w:r>
        <w:t>https://mcp.opencaselaw.ch/entscheid/vd_findinfo_Jug___2021___495</w:t>
      </w:r>
    </w:p>
    <w:p>
      <w:r>
        <w:t>FR: VD_FINDINFO Jug / 2021 / 495 du 28 mai 2021</w:t>
      </w:r>
    </w:p>
    <w:p>
      <w:r>
        <w:t>IT: VD_FINDINFO Jug / 2021 / 495 del 28 maggio 2021</w:t>
      </w:r>
    </w:p>
    <w:p>
      <w:pPr>
        <w:pStyle w:val="Heading2"/>
      </w:pPr>
      <w:r>
        <w:t>Regeste</w:t>
      </w:r>
    </w:p>
    <w:p>
      <w:r>
        <w:t>CONSTATATION DES FAITS, FIXATION DE LA PEINE, FONCTIONNAIRE, GESTION DÉLOYALE DES INTÉRÊTS PUBLICS, ABUS DE CONFIANCE, CRÉANCE, PRÉTENTION DE DROIT PUBLIC, DÉFENSE D'OFFICE, INDEMNITÉ{EN GÉNÉRAL}, FRAIS JUDICIAIRES | 110 ch. 3 CP, 138 CP, 314 CP, 42 al. 1 CP, 47 CP, 48 let. e CP, 49 al. 1 CP, 71 CP, 135 CPP, 426 CPP, 10 CPP (CH)</w:t>
      </w:r>
    </w:p>
    <w:p>
      <w:pPr>
        <w:pStyle w:val="Heading2"/>
      </w:pPr>
      <w:r>
        <w:t>Erwägungen</w:t>
      </w:r>
    </w:p>
    <w:p>
      <w:r>
        <w:rPr>
          <w:b/>
        </w:rPr>
        <w:t>E. 28</w:t>
      </w:r>
    </w:p>
    <w:p>
      <w:r>
        <w:t>octobre 2010 et le 18 novembre 2011 – présenté des montants globaux de 24'000 fr., puis de 20'000 fr. au titre de « frais de représentation ». Or, ces derniers étaient censés correspondre non seulement aux frais forfaitaires, mais aussi à ceux remboursés sur la base de justificatifs, de sorte que les autres membres conseil d’administration ne pouvaient procéder de manière anticipée à la distinction. S.________ et R.________ ont ensuite fait répartir le montant annuel indu de 10'000 fr. sous deux comptes distincts : « honoraires CA » (en sus du poste « Jetons présence ») et « frais représentation &amp; réception ». S.________ et R.________ ont ainsi perçu illicitement des remboursements de frais indus, s’enrichissant au détriment de G.________SA. En cours de procédure et en exécution d’une convention des 4, 10 et 15 octobre 2013, ils ont remboursé à G.________SA, par compensation, les montants reçus en trop. En droit : 1. 1.1 Interjetés dans les formes et délais légaux (art. 399 CPP [Code de procédure pénale suisse du 5 octobre 2007 ; RS 312.0]) par trois prévenus ayant la qualité pour recourir contre le jugement d’un tribunal de première instance ayant clos la procédure (art. 398 al. 1 CPP), les appels de R.________, S.________ et H.________ sont recevables. Il en va de même de l’appel du Ministère public (art. 381 al. 1 CPP). 1.2 Le défenseur d’office peut recourir devant l’autorité de recours (cf. art. 20 CPP) contre la décision du tribunal de première instance fixant son indemnité (art. 135 al. 3 let. a CPP ; ATF 139 IV 199 consid. 5.2, JdT 2014 IV 79). Lorsqu’une partie dépose un appel et que la juridiction d’appel entre en matière, l’intégralité des griefs concernant l’indemnité d'office doit être traitée dans le cadre de l’appel (ATF 140 IV 213 consid. 1.4 et 1.7 ; ATF 139 IV 199 consid. 5.6, JdT 2014 IV 79). Ainsi, déposé en temps utile (art. 396 al. 1 CPP), le recours de Me Alexandre Curchod contre son indemnité d’office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3. Le Ministère public, invoquant une violation du droit et une constatation incomplète ou erronée des faits, conteste l’analyse du tribunal correctionnel conduisant à dénier aux trois prévenus la qualité de fonctionnaires au sens de l’art. 110 al. 3 CP (Code pénal du 21 décembre 1937 ; RS 311.0). Le Ministère public soutient que S.________ et R.________, en leur qualité de représentants de [...], ainsi que H.________, en sa qualité de délégué de la [...], revêtaient la qualité de fonctionnaires, dans la mesure où le critère déterminant serait l’accomplissement d’une tâche public, qui aurait été évidente dès la création de G.________SA. Le procureur se réfère notamment à la synthèse de l’Exposé des motifs et projet de décret du [...] (EMPD), rappelant l’objectif étatique présenté en automne 2003 par le [...], ainsi qu’aux décision publiques successive des autorités dans le but de servir une politique de développement économique. Il relève que l’actionnariat de G.________SA était exclusivement en mains publiques, que son conseil d’administration était constitué d’une délégation de représentants d’entités publiques, que son unique actif initial était constitué de terrains publics, qu’un prêt lui avait été consenti par l’Etat et non par des banques, qu’une convention régissant la mission confiée par l’Etat à la société (notamment la promotion exogène du canton) avait été signée le 27 juin 2007, que la comptabilité de l’Etat était autorisée à ouvrir des crédits d’engagement pour financer le soutien à la mise en œuvre de ce pôle de développement, que des « lettres de missions » avaient été adressées aux prévenus qui les avaient acceptées, qu’un service de tutelle (SELT) avait été désigné par l’Etat, que les statuts de la société interdisaient tout but lucratif et que le statut d’utilité publique était reconnu à G.________SA par l’ACI, la société bénéficiant d’exonérations d’impôts. Ainsi, selon le Ministère public, il serait évident que G.________SA exerçait une tâche d’utilité publique dès sa création, l’idée initiale d’une gestion financière autonome et personnalisée ayant eu pour seul but de sortir le site et ses immeubles de la comptabilité générale de l’Etat, pour permettre l’apport de fonds privés. Les prévenus auraient donc, selon le procureur, dû être condamnés pour gestion déloyale des intérêts publics au sens de l’art. 314 CP, respectivement pour abus de confiance qualifié.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précité). 3.1.2 L’un des éléments constitutifs des infractions de gestions déloyale des intérêts publics (art. 314 CP – cf. infra ch. 4.1.1) et d’abus de confiance qualifié (art. 138 ch. 2 CP – cf. infra ch. 4.1.2) est d’avoir agi en qualité de fonctionnaire. Conformément à l’interprétation classique de l’art. 110 al. 3 CP, le critère déterminant pour revêtir la qualité de fonctionnaire réside dans la nature officielle de la fonction confiée, à savoir l’accomplissement de tâches de droit public incombant au service public (ATF 141 IV 329, JdT 2016 IV 145 ; ATF 135 IV 198 consid. 3.3, JdT 2011 IV 51). Les fonctionnaires sont subordonnés à une autorité et ils exécutent les décisions de cette dernière, de même que les tâches qu’elle leur confie. Un fonctionnaire se distingue par conséquent du membre d’une autorité par le fait qu’il est subordonné à une autorité dans la prise des décisions (Calderari, in : Macaluso/Moreillon/Queloz [éd.], Commentaire romand, Code pénal II, Bâle 2017, n. 8 ad art. 314 CP). Le membre d’une autorité exerce, individuellement ou collectivement (soit dans un organe collégial ; cf. Corboz, Les infractions en droit suisse, Volume II, 3 e éd., Berne 2010, n. 5 ad art. 314 CP), un des trois pouvoirs de l’Etat. Une parcelle de pouvoir suffit pour autant que l’intéressé ne soit pas subordonné à une autorité pour prendre les décisions. La notion peut viser les membres d’organes suprêmes d’entités administratives décentralisées, d’autres entités publiques ou parapubliques, ainsi que d’entités privées délégataires de tâches publiques (Calderari, op. cit., n. 9 ad art. 314 CP ; Verniory, in : Moreillon et al. [éd.], Commentaire romand, Code pénal I, 2 e éd., Bâle 2021, n. 5 ad art. 110 al. 3 CP). La notion pénale de fonctionnaire est autonome, en ce sens qu’elle ne se recoupe pas nécessairement avec celle que l’on peut retrouver en droit public. Ce dernier, qui constitue le terreau naturel de la notion, la connaît dans plusieurs contextes, notamment en droit de la responsabilité de l’Etat et en droit de la fonction publique. Dans ce dernier cadre, il faut relever que, dans le prolongement du New Public Management, tant la Confédération que de nombreux cantons ont abandonné dans leur droit de la fonction publique la notion de fonctionnaire, et ne parlent plus que de membres du personnel ou d’employés. Dans les cantons qui les connaissent encore, les fonctionnaires ne constituent souvent que l’une des catégories de personnes travaillant pour l’Etat ; généralement, il s’agit des membres du personnel dont le statut est le plus stable, et qui sont nommés à leur fonction par l’exécutif cantonal. Contrairement à ce que suggère la note marginale, l’art. 110 al. 3 CP, qui reprend avec une très légère modification rédactionnelle l’ancien texte (art. 110 aCP), précise certains éléments de la notion de fonctionnaire mais ne la définit pas à proprement parler. C’est donc la jurisprudence qui a principalement façonné la définition du fonctionnaire en droit pénal. Celle-ci s’est basée pendant longtemps exclusivement sur des critères matériels. Toutefois, depuis 2009, elle indique que la notion pénale de fonctionnaire au sens de l’art. 110 al. 3 CP comprend aussi bien les fonctionnaires d’un point de vue institutionnel que fonctionnel. Les premiers sont des personnes qui sont fonctionnaires au sens du droit public ou employés de l’Etat, ce qui revient à utiliser un critère formel (et rogne donc l’autonomie de la notion). Les seconds sont les personnes qui n’appartiennent pas à la première catégorie mais qui sont chargées d’exécuter une tâche publique, ce qui constitue un critère matériel. La catégorie de personnel du secteur public ou parapublic à laquelle l’intéressé appartient, de même que la nature juridique des rapports qui le lie à la collectivité sont alors sans pertinence. En outre, et comme le précise expressément le texte légal, l’exécution de tâches publiques visées par la définition peut s’effectuer à titre provisoire ou temporaire. Il importe également peu que la personne soit rémunérée pour assumer ses tâches, un office ou un mandat exercé à titre gracieux n’étant pas incompatible avec la qualité de fonctionnaire. En outre, il n’est pas nécessaire que l’exécution des tâches en cause implique l’exercice de la puissance publique. Le second critère matériel est celui de la subordination. Ce critère apparaît directement lié à la présence - dans plusieurs dispositions spéciales, telles que les art. 312 et 320 CP, mais non au sein de l’art. 110 CP - de la notion de membres d’une autorité. La jurisprudence a dès lors cherché à distinguer cette dernière notion de celle de fonctionnaire, bien que la portée de cette différentiation ne revête qu’une importance marginale, et que le droit public n’apporte ici guère de secours, puisqu’il n’existe pas de définition univoque et générale de ce qu’est une autorité publique. Sont néanmoins considérés, en droit pénal, comme membres d’une autorité à tout le moins, les membres des trois pouvoirs (membres de l’exécutif fédéral ou d’un exécutif cantonal ou communal, députés et juges fédéraux ou cantonaux), auxquels peuvent venir s’ajouter les membres des organes suprêmes des entités de l’administration décentralisée (par exemple conseil d’administration d’un établissement public autonome ou rectorat d’une université), voire, de cas en cas, d’autres entités publiques (par exemple des commissions dites extraparlementaires ou officielles) ou parapubliques, ou d’entités privées délégataires de tâches publiques. Le fonctionnaire au sens de l’art. 110 al. 3 CP est dès lors normalement subordonné à une autorité. Dans la pratique, la délimitation entre fonctionnaires, membres d’une autorité et personnes ne relevant d’aucune de ces deux catégories peut s’avérer fort délicate, notamment dans certains contextes - de plus en plus courants - de décentralisation fonctionnelle de l’administration ou de privatisation des tâches publiques. La qualification de fonctionnaire s’applique en revanche sans difficulté à presque toutes les personnes liées par des rapports de service à une administration centrale, quel que soit le pouvoir auquel elles se rattachent. La casuistique du Tribunal fédéral illustre assez clairement ces difficultés de délimitation. Ont ainsi été considérés comme des fonctionnaires un médecin chargé par l’autorité d’accompagner un détenu en vue de refoulement, un juge d’instruction fédéral extraordinaire, un tuteur professionnel, un directeur de laboratoire, un gestionnaire de portefeuille immobilier de la SUVA, le chef du département de gestion du patrimoine de la caisse zurichoise d’assurance du personnelle de l’Etat, un collaborateur externe d’un office fédéral (chef de projet pouvant attribuer à des tiers des mandats publics), les enseignants de l’école publique, les membres de la police ferroviaire ou encore les employés d’entreprise d’électricité détenues par l’Etat (même sous la forme d’une société anonyme de droit privé) qui s’occupent de la construction et la transformation des installations pour la production d’énergie électrique ; mais non le chef de l’Etat-Major général de l’armée, un tuteur privé, un défenseur pénal, un employé de banque cantonale ou encore un juré fédéral (Verniory, op. cit., nn. 2 à 7 ad art. 110 al. 3 CP). 3.1.3 L’art. 58 al. 1 Cst-VD (Constitution du Canton de Vaud du 14 avril 2003 ; BLV 101.01) prévoit que, dans le respect du principe de la liberté économique, l'Etat crée les conditions-cadres favorisant l'emploi, la diversité des activités et l'équilibre entre les régions. Il encourage l'innovation technologique, ainsi que la création et la reconversion d'entreprises (al. 2). L’art. 4 al. 1 let. c LADE (loi sur le développement économique du 12 juin 2007 ; BLV 900.05) prévoit que l’Etat prend des mesures visant à encourager l’innovation ou la diversification de l’économie privée. Cette loi règlemente de façon détaillée l’octroi d’aides étatiques, sous la forme de prêts ou de subventions, en matière de promotion économique du canton, notamment de valorisation des potentiels économiques et territoriaux du canton et des régions, et de projets régionaux. L’art. 13 al. 1 LADE précise notamment que l'autorité d'octroi peut accorder, par décision ou convention, une aide à fonds perdu aux organismes de promotion reconnus pour financer leur budget de fonctionnement. L’art. 24 al. 1 LADE dispose que des subventions pour l'achat, la réalisation, la rénovation et la transformation d'infrastructures, à l'exclusion de l'entretien courant, peuvent être accordées sous la forme de prêts avec ou sans intérêts (ch. 1) ou de cautionnements de prêts des tiers (ch. 2). Exceptionnellement, compte tenu des possibilités financières du bénéficiaire et de l'importance du projet pour le développement économique, des aides à fonds perdu pourront être octroyées, à raison de 35 pour cent au plus du coût engendré par l'accomplissement économe et efficace du projet (al. 2). 3.2 3.2.1 En l’espèce, les premiers juges ont examiné le but poursuivi par la société G.________SA tel qu’il figure à l’art. 2 de ses statuts ainsi que les missions assignées par [...] au chapitre 3 de la convention qui lie le canton à cette société (chapitre 3 de la convention des 27 juin et 3 juillet 2007, P. 22/1) pour considérer qu’il ne s’agissait pas de tâches de droit public incombant aux services publics, ni d’une fonction officielle, les activités accomplies par les trois appelants ne correspondant dès lors pas à celles d’un fonctionnaire. Le Tribunal correctionnel a ensuite considéré que les lettres de mission passées entre [...] d’une part et S.________ et R.________ d’autre part, rédigées en termes généraux, n’avaient pas créé un réel lien de subordination, même si ces derniers représentaient le canton au sein du conseil d’administration de G.________SA. Quant à H.________, l’autorité de première instance a constaté que celui-ci contestait avoir reçu la lettre de mission établie à son égard par la [...], que le document en question était également rédigé en termes généraux et qu’il n’avait pas été signé, pour considérer que cette lettre n’avait pas non plus créé de lien de subordination vis-à-vis de cet appelant. Par ailleurs, les premiers juges ont retenu que les différents contrats de droit privé passés entre les trois appelants et la société n’amenaient pas d’élément permettant de considérer qu’ils exécutaient des tâches publiques. Au surplus, le fait que G.________SA soit entièrement détenue par des collectivités publiques ne permettait pas de considérer que cette société exerçait des tâches de droit public incombant aux services publics, les motifs ayant conduit à la création d’une société anonyme plaidant en faveur d’une activité à caractère privé. 3.2.2 Ces considérations ne sauraient être suivies. Il est incontestable que G.________SA est une société anonyme à but d’utilité publique créée par [...], la Ville [...] et la Commune [...]. Sa création résulte de la volonté du [...], formulée dans un exposé des motifs et projet de décret (EMPD), puis promulgué par Décret du [...] le [...]. Il résulte de l’en-tête même du chapitre 3 de l’EMPD que la solution retenue est la création d’une société anonyme « reconnue d’utilité publique », l’idée étant de soulager l’Etat d’une lourde tâche pour laquelle il ne disposait pas des ressources humaines et financières suffisantes. Il est certes également question de flexibilité opérationnelle et financière (apport de fonds privés), mais il est toutefois rappelé que le but est d’aménager, équiper, gérer, valoriser et promouvoir « dans un but d’intérêt public » les terrains en question. On lit encore, toujours au chapitre 3 de cet EMPD : « Dans le présent cas, la reconnaissance du statut d'utilité publique de la société anonyme a été délivrée par l'administration cantonale des impôts, prononçant ainsi son exonération fiscale sur les impôts, sur le bénéfice net, sur le capital, l'impôt fédéral direct et les droits de mutations sur le transfert immobilier » ou encore que les missions de G.________SA sont notamment « la promotion du site en liaison avec le Conseil pour le développement économique du Canton de Vaud » et « l'appui pour les implantations d'entreprises en liaison avec la promotion économique cantonale et régionale ». On comprend ainsi des objectifs ayant présidé à la création de la société G.________SA qu’il s’agissait de concrétiser un but d’intérêt public lié au développement économique du canton de [...] (cf. art. 58 Cst-VD, 4, 13 et 24 LADE notamment). La société a été dotée d’un capital action de 4'000'000 fr. dont les actions ont été réparties à raison de 97,5 % en faveur de [...], de 1,25 % en faveur de la Ville [...] et de 1,25 % en faveur de la Commune [...], les actionnaires étant dès lors exclusivement constitués des collectivités publiques concernées. La société a été capitalisée par le biais d’un apport en nature de [...] constitué d’un terrain à bâtir de 83'128 m 2 évalué à 13'600'000 fr. par la [...]. La société a donc été capitalisée uniquement au moyen d’un patrimoine détenu par une collectivité publique. Les administrateurs de la société ont tous été désignés par les trois collectivités publiques engagées conjointement dans la mise en œuvre de ce qu’il convient de considérer comme une politique publique de développement économique. La convention signée les 27 juin et 3 juillet 2007 entre [...] et G.________SA reprend expressément dans son préambule les enjeux publics qui ont justifié la création de cette société pour définir les missions qui lui sont confiées, relevant notamment le caractère « ultra-stratégique » du site confié à fin d’aménagement et de valorisation « dans le cadre de la mise en œuvre de la politique des pôles de développement économique ». Les statuts de G.________SA mentionnent précisément qu’il s’agit d’une société anonyme d’intérêt public sans but lucratif, avec délégation de représentants de [...] et de la Commune [...] au sein de son conseil d’administration (art. 1 des statuts ; P. 22/4.4, p. 1). Il est vrai que les collectivités publiques concernées ont choisi de mettre en place une structure de droit privé pour dégager [...] des tâches d’aménagement et de gestion pour lesquelles ce dernier estimait ne pas disposer de ressources humaines suffisantes, et que sous cet angle, la situation de G.________SA présente une apparence d’indépendance. Cependant, le fait que G.________SA soit une société de droit privé (pour rappel, sans but lucratif) ne saurait occulter le but qu’elle poursuit, à savoir l’accomplissement d’une mission d’intérêt public au moyen de biens publics (terrain, prêt sans intérêt, budget annuel de fonctionnement alloué par le canton), à savoir le développement d’un pôle économique stratégique pour le [...], ce qui se déduit sans interprétation divergente possible du texte clair de l’EMPD. Ainsi et contrairement à ce qui a été retenu par les premiers juges, il y a lieu de considérer que les trois appelants, nommés administrateurs de la société d’utilité publique G.________SA par des collectivités publiques en tant que leurs représentants, étaient chargés d’exécuter des missions d’intérêt public, respectivement une tâche publique. Le premier critère posé par la jurisprudence pour retenir la qualité de fonctionnaire au sens de l’art. 110 al. 3 CP est donc rempli, étant rappelé que la catégorie de personnel du secteur public ou parapublic à laquelle l’intéressé appartient, de même que la nature juridique des rapports qui le lient à la collectivité, sont sans pertinence (TF 6B_972/2017 du 26 février 2018, consid. 2.3.1). 3.2.3 Quant au second critère matériel de la subordination, il faut rappeler encore une fois que les trois appelants ont été nommés administrateur de la société d’intérêt public G.________SA par les collectivités publiques auxquelles ils devaient par conséquent rendre compte. Or, les statuts de la société prévoient à l’art. 18 al. 3 que le « conseil d’administration est composé de : membres représentant [...], dont un de ces membres est désigné en accord avec la Commune [...] ; 1 membre représentant la Commune de [...] » (P. 22/4.4, p. 6). Il s’ensuit que seules les collectivités publiques, actionnaires de la société, pouvaient être membres du conseil d’administration, les personnes physiques le composant ne faisant que les représenter au sein de cet organe. C’est du reste la concrétisation de ce qui était prévu à l’art. 17 de l’EMPD : « Le Conseil d’administration de la société se compose du président, du vice-président et de trois membres : ils doivent être actionnaires » (P. 82/1). On ne saurait donc considérer que les trois appelants disposaient d’une quelconque liberté vis-à-vis des collectivités publiques engagées au sein de G.________SA qu’ils ne faisaient que représenter au sein du conseil d’administration. Force est donc constater qu’il existait un lien de subordination direct. Le fait que les trois appelants aient été également engagés comme mandataires ou employés auprès de G.________SA n’affaiblit en rien ce lien de subordination. Le second critère est dès lors à l’évidence également rempli pour les trois appelants, qui assumaient la fonction d’administrateur au sein du conseil d’administration de la société durant toute la période litigieuse. Les « lettres de mission » établies à l’égard des appelants confortent cette appréciation. Il en va de même des éléments invoqués par le Ministère public, savoir notamment l’unique actif cédé, constitué de terrains appartement à une collectivité publique, le service de tutelle de l’Etat assuré par le SELT et l’exonération d’impôts. Du reste, l’existence de ce lien de subordination, vis-à-vis du budget de G.________SA, ressort également clairement des déclarations de R.________ lui-même : « Je tiens encore à vous donner quelques indications concernant la manière dont le budget de G.________SA était élaboré, puis validé. C’est le comité exécutif de G.________SA composé de S.________, H.________ et moi qui préparait le budget. Ce budget était ensuite soumis à tous les membres du conseil d’administration qui avaient tout loisir de poser des questions et/ou de proposer des modifications. Le budget était ensuite soumis au SECO qui l’examinait attentivement. Je me rappelle que nous devions régulièrement répondre à des questions du SECO. Après avoir passé au SECO, le budget était transmis à l’Administration cantonale des finances qui exerçait elle aussi un contrôle et posait aussi des questions. Après avoir obtenu l’aval de l’Administration cantonale des finances, le budget était soumis à l’assemblée générale de [...] pour validation définitive. Tout ceci pour vous dire que le budget de G.________SA faisait l’objet de vérifications importantes. J’ajoute encore que les comptes de G.________SA étaient révisés et suivaient le même processus de contrôle (SECO et Administration cantonale des finances) » (PV aud. 10, ll. 80 à 93). 3.2.4 S’agissant enfin de H.________, celui-ci n’est pas crédible lorsqu’il soutient qu’il n’aurait pas eu connaissance de la lettre de mission datée du 27 mai 2009 que lui avait adressé la Ville de [...]. Il a en effet fait des déclarations divergentes sur ce point, admettant lors de sa première audition en 2013 être devenu administrateur de G.________SA en sa qualité de représentant de la Ville de [...] – ce qui en soi est suffisant pour le considérer comme étant intervenu en qualité de fonctionnaire au vu des considérations qui précèdent, notamment quant au contenu de l’EMPD et des statuts de la société – et, de surcroît, avoir signé un document contractuel avec celle-ci (PV aud. 1, l. 70 ss). 3.3 Il y a ainsi lieu de retenir que les trois appelants étaient des fonctionnaires au sens du droit pénal (art. 110 al. 3 CP). 4. Le Ministère public considère que, dans la mesure où les trois appelants doivent être considérés comme des fonctionnaires, ceux-ci doivent être condamnés pour gestion déloyale des intérêts publics au sens de l’art. 314 CP, et non pour gestion déloyale aggravée, respectivement pour abus de confiance qualifié et non abus de confiance simple. Il convient d’examiner successivement les cas reprochés aux prévenus. 4.1 4.1.1 4.1.1.1 En vertu de l’art. 314 CP,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 Les éléments constitutifs objectifs consistent donc dans la qualité de fonctionnaire ou de membre d’une autorité de l’auteur, un comportement typique se traduisant par un acte juridique violant un devoir de défendre les intérêts publics, un résultat sous la forme d’une lésion d’un intérêt public et un lien de causalité (Dupuis et al. [éd.], Petit Commentaire, Code pénal, 2 e éd., Bâle 2017, n. 6 ad art. 314 CP). La gestion déloyale des intérêts publics fait partie des infractions contre les devoirs de fonction et les devoirs professionnels. Cette disposition vise non seulement à assurer la confiance des citoyens en la bonne administration des intérêts publics mais aussi à protéger le patrimoine de l’Etat (Dupuis et al., Petit commentaire, Code pénal, 2e éd., Bâle 2017, n. 3 ad art. 314 CP). Pour que cette infraction puisse être retenue, il faut que les intérêts publics, qui peuvent être financiers ou moraux (ATF 117 IV 286 consid. 4c, JdT 1994 IV 44 ; ATF 114 IV 133 consid. 1b, JdT 1990 IV 20), soient lésés par un acte juridique ou par les effets de celui-ci (ATF 109 IV 168 consid. 1, JdT 1984 IV 143 ; ATF 101 IV 411 consid. 2). La mission de défendre les intérêts publics peut être violée lorsque le comportement en cause amène les citoyens à douter de l’objectivité et de l’indépendance de l’autorité (ATF 117 IV 286 consid. 4b ; ATF 114 IV 133 consid. 1). Sur le plan subjectif, l’infraction nécessite une intention – le dol éventuel étant suffisant – et le dessein particulier de se procurer ou de procurer à un tiers un avantage illicite (Dupuis et al., op. cit., n. 33 s. ad art. 314 CP). 4.1.1.2 L’auteur doit léser les intérêts publics par un acte juridique ou par les conséquences juridiques de celui-ci (ATF 109 IV 168 consid. 1 ; ATF 101 IV 407 consid. 2). L’acte juridique au sens de l’art. 314 CP est un acte de gestion, comme l’indique le titre marginal de l’infraction. La disposition ne vise pas les actes d’exercice de la puissance publique, soit les actes de disposition soumis au droit public. La notion d’acte juridique comprend uniquement les actes de droit privé. Un acte juridique est ainsi conclu lorsque le fonctionnaire ou le membre d’une autorité agit comme représentant de la collectivité publique dans un acte de droit privé, en particulier dans un contrat de droit privé (vente, bail, travail ou prêt par exemple). La doctrine considère que sont des actes au sens de l’art. 314 CP l’acquisition de biens immobiliers, la commande de fournitures, l’octroi d’une concession, l’engagement d’un fonctionnaire, l’achat d’actions au nom et pour le compte de la commune et l’adjudication de travaux publics (Calderari, op. cit., nn. 13, 14 et 19 ad art. 314 CP et les réf. citées). L’infraction est réalisée lorsque le membre d’une autorité ou le fonctionnaire lèse dans un acte juridique les intérêts publics qu’il a pour mission de défendre. La notion d’acte juridique est interprétée largement par le Tribunal fédéral. Par acte juridique, on entend les contrats de droit privé que l’auteur, en tant que représentant de la collectivité publique, passe avec des tiers. Elle inclut également les cas où l’auteur prétend agir en cette qualité, alors qu’en réalité il passe l’acte pour son propre compte (ATF 91 IV 71, consid. 1, JdT 1965 IV 108 ; Dupuis et al., op. cit., nn. 16 à 18 ad art. 314 CP). Le devoir de défense des intérêts publics n’a pas besoin d’être expressément prévu et peut résulter de la tâche confiée. Il faut se demander si l’auteur avait cette mission lors de l’élaboration ou de la passation de l’acte juridique. La mission de défendre les intérêts publics conférant une position de garant, le comportement en cause peut aussi bien s’envisager sous l’angle d’une action que d’une omission, consistant par exemple à ne pas empêcher l’adoption de l’acte (Dupuis et al., op. cit., n. 26 ad art. 314 CP). L’auteur doit agir dans le dessein de se procurer ou de procurer à un tiers un avantage illicite (TF 6B_921/2008 du 21 août 2009 consid. 5.6). Comme pour le dommage, l’avantage recherché peut être idéal ou matériel et résulter de l’acte juridique lui-même ou de ses conséquences. Le critère déterminant est la lésion causée aux intérêts publics en cause (ATF 113 Ib 175 consid. 7b). Il est ainsi possible que l’avantage consiste simplement à éviter un risque. L’avantage est donc illicite dès que l’auteur n’y a pas droit. En outre, le caractère illicite peut découler du but ou des moyens utilisés par l’auteur pour obtenir l’avantage (Calderari, op. cit., n. 40 ad art. 314 CP et les réf. citées). 4.1.1.3 L’art. 314 CP est une lex specialis par rapport à la gestion déloyale de l’art. 158 CP (Corboz, op. cit., n. 43 ad art. 314 CP et les arrêts cités). Dans la mesure où les prévenus doivent être considérés comme des fonctionnaires dans le cadre de la présente cause, il est renoncé à énoncer les principes juridiques relatifs à l’infraction de gestion déloyale (art. 158 CP). 4.1.2 L’art. 138 CP sanctionne l’abus de confiance. Le chiffre 1 alinéa 1 de cette disposition vise celui qui, en vertu de la loi, d’un mandat officiel ou d’un acte juridique, est tenu de gérer les intérêts pécuniaires d’autrui ou de veiller sur leur gestion et qui, en violation de ses devoirs, aura porté atteinte à ces intérêts ou aura permis qu’ils soient lésés. Le chiffre 2 de cette disposition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La gestion déloyale au préjudice des proches ou des familiers n’est poursuivie que sur plainte (ch. 3).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Du point de vue subjectif, l'auteur doit avoir agi intentionnellement et dans un dessein d'enrichissement illégitime, lequel peut être réalisé par dol éventuel (ATF 118 IV 32 consid. 2a ; TF 6B_1383/2016 du 16 mai 2018 consid. 1.1). Tel est le cas, lorsque l'auteur envisage l'enrichissement comme possible et agit néanmoins, même s'il ne le souhaite pas, parce qu'il s'en accommode pour le cas où il se produirait (ATF 123 IV 155 consid. la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consid. 3a) ou encore s'il était en droit de compenser (ATF 105 IV 29 consid. 3a ; TF 66_1265/2017 du 26 mars 2018 consid. 4.1 ; TF 66_1383/2016 du 16 mai 2018 consid. 1.1).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consid. 3a). 4.2 Contrats de prestations entre D.________Sàrl et B.________ (cf. cas 1 supra ) 4.2.1 Il est reproché aux trois prévenus d’avoir développé au travers de leur société D.________Sàrl des activités sur le site de G.________SA et d’en avoir retiré un enrichissement personnel au détriment de cette dernière société dont ils avaient la responsabilité de conduite. En l’occurrence, deux contrats de prestations ont été passés entre D.________Sàrl et B.________. Le premier, daté du 17 décembre 2009, concernait le bâtiments B3 et portait sur un montant forfaitaire de 300'000 fr. hors taxes. Le second, daté du 8 octobre 2010, concernait le bâtiment B2 et portait sur un montant forfaitaire de 200'000 fr. hors taxes. Pour les motifs indiqués dans le jugement entrepris, il y a lieu de retenir que les prestations effectuées par D.________Sàrl pour B.________ auraient dû l’être au nom de G.________SA (jugt, pp. 86 à 89 – art. 82 al. 4 CPP). En effet, les prestations prétendument réalisées – mais en tout cas facturées – par D.________Sàrl dans le cadre de ces contrats entraient dans les attributions de G.________SA au regard de ses statuts et de la convention des 27 juin et 3 juillet 2007, quoi qu’en disent les appelants. R.________ l’a du reste admis en cours d’instruction : « J’admets donc que le but social de G.________SA permettait de remplir une fonction de facility management, du moins pour un immeuble et pour du nettoyage. Je rappelle que G.________SA ne pouvait pas être propriétaire d’un immeuble et qu’il incombe au propriétaire de choisir son facility manager » (PV aud. 11, ll. 85 ss). Ces prestations ont en réalité été effectuées par les appelants dans le cadre de leurs activités au sein de G.________SA ainsi que par l’employé de cette société, C.________, jusqu’à ce que ce dernier quitte cette société pour travailler pour le [...] lors de la vente de D.________Sàrl. L’engagement de C.________ par G.________SA – dont il a notamment été admis par R.________ qu’il travaillait à 50% pour G.________SA et à 50% pour D.________Sàrl (devenue W.________) durant toute l’année 2011 (PV aud. 10, ll. 280 ss) et dont il est établi qu’il représentait pratiquement systématiquement D.________Sàrl lors des séances de chantier avec B.________ – démontre que les activités en question pouvaient parfaitement être réalisées par G.________SA et que rien ne justifiait objectivement de les externaliser. D.________Sàrl n’était ainsi qu’une société de facturation, permettant la création d’une valeur patrimoniale monnayable par la suite, au moment de la vente de D.________Sàrl et de la cession d’un droit d’exclusivité en faveur du [...]. Contrairement à ce que soutiennent les appelants, le fait que l’EMPD précise que la construction de bâtiments sur le site doit passer par des institutions étrangères n’y change rien, l’activité prétendument développée par D.________Sàrl ne correspondant pas à une activité de construction, cette activité ayant été déployée par B.________. En revanche, on ne saurait suivre le raisonnement des premiers juges en ce qui concerne la qualification juridique d’abus de confiance. Les montants versés par B.________ dans le cadre de l’exécution des deux contrats précités ne correspondent pas à une valeur patrimoniale qui aurait été confiée aux appelants par G.________SA, mais résultent des prestations effectives fournies par les appelants et l’employé de G.________SA, C.________, au travers de cette société, et dont ils ont obtenu paiement par B.________ en faveur de leur société D.________Sàrl. L’argent n’a ainsi pas transité sur les comptes bancaires de G.________SA. Il s’agit dès lors de gestion déloyale des intérêts publics au sens de l’art. 314 CP, par l’établissement de contrats ayant dû être passés par G.________SA et non par D.________Sàrl, et non d’abus de confiance. Certes, les appelants et C.________ ont utilisé les infrastructures de G.________SA (ordinateurs, téléphones et temps de travail rémunéré par cette société), mais il ne s’agit pas de valeurs patrimoniales confiées. Les appelants affirment que C.________ a été rémunéré à hauteur de 10'000 fr. pour les activités prétendument réalisées pour le compte de D.________Sàrl, mais cette rémunération, qui comprendrait 5'000 fr. de frais de représentation et 5'000 fr. d’honoraires, et qui ne correspond à rien de clairement identifiable, ne reflète à l’évidence absolument pas l’ampleur des tâches qui sont censées avoir été exécutées par cet employé au nom de cette société (cf. cas 2 supra et consid. 4.3 infra ), dont il a déjà été rappelé qu’il participait aux séances de chantier en sa qualité de représentant. Il s’ensuit que S.________, R.________ et H.________ doivent être condamnés pour gestion déloyale des intérêts publics en raison des faits décrits sous cas 1 supra. 4.2.2 L’appelant H.________ conteste la qualification d’abus de confiance qui, selon lui, ne pourrait porter sur des valeurs hypothétiques puisque celles-ci ne seraient jamais entrées dans le patrimoine de G.________SA. Il soutient également que le but statutaire de G.________SA ne permettait pas à cette société de réaliser les prestations en cause. Il fait valoir qu’aucune facture n’a été adressée par G.________SA et qu’aucun indice n’attesterait des activités développées par cette société dans le domaine concerné. Enfin, il fait valoir que sa mission au sein de G.________SA ne consistait pas à dispenser ce type de conseil et qu’il n’en résulterait aucun dommage pour la société. L’argumentation de H.________ est sans pertinence en ce qui concerne l’infraction d’abus de confiance, dans la mesure où, comme on vient de le voir, les faits du cas 1 doivent être qualifiés juridiquement de gestion déloyale des intérêts publics. Pour le surplus, comme on vient également de le voir, les missions conférées à G.________SA pouvaient parfaitement comprendre les activités litigieuses de facility management, et l’engagement des trois prévenus au sein du conseil d’administration de G.________SA devait précisément permettre d’assurer ce type de compétence en son sein. Si cette société n’a pas facturé les prestations exécutées par ses administrateurs et l’employé C.________, c’est en raison des agissements qui sont reprochés aux trois appelants concernés et qui consistaient à exclure G.________SA des deux contrats en question, tout en réalisant l’ensemble des tâches au sein de sa structure. Quant au dommage, il réside dans le fait d’avoir accompli l’ensemble des activités concernées par les deux contrats de prestations au travers de G.________SA, tout en la privant de la contre-prestation financière correspondante. Par ailleurs, l’argumentation développée par H.________ sur le fait que ce type d’activité peut être délégué à des tiers tombe à faux puisqu’il n’en a rien été en l’occurrence, les tâches ayant justement été exécutées par les trois appelants ainsi que par l’employé de la société, C.________. Enfin, H.________ doit répondre solidairement de l’ensemble du dommage résultant des deux contrats de prestations soustraits à G.________SA, dès lors que celui-ci était à la fois administrateur de G.________SA et de D.________Sàrl, et par conséquent au courant – contrairement aux autres membres du conseil d’administration – de l’activité consistant à détourner la facturation d’une tâche incombant à G.________SA par le biais d’une société constituée à cette fin. Le montant qu’il a perçu correspond ainsi au tiers des sommes versées par [...] et on ne discerne pas ce qui justifierait de l’exonérer de sa responsabilité pour l’ensemble des prestations obtenues par le biais de la société D.________Sàrl, dont il était propriétaire et administrateur au même titre que ses coprévenus. 4.2.3 Les appelants S.________ et R.________ contestent également en vain que G.________SA avait la possibilité d’exécuter les contrats de prestations conclus entre B.________ et D.________Sàrl. Cette problématique a déjà été évoquée ci-avant. De fait, au travers de G.________SA, les appelants ont concrètement réalisé les activités qui s’inscrivaient dans le cadre des contrats de prestations signés avec B.________, et C.________ a également effectué les tâches correspondantes. L’argumentation consistant à dire que G.________SA ne pouvait pas accomplir ce type d’activité doit donc être écartée. Il en va de même de la question de de l’éventuelle absence de dommage subi par G.________SA, également évoquée ci-avant, celle-ci ayant été privée des revenus qu’elle aurait dû percevoir. 4.3 C.________ (cf. cas 2 supra ) 4.3.1 Il est reproché aux trois prévenus d’avoir eu recours aux services de C.________, alors qu’il était salarié de G.________SA, pour assumer une partie au moins de l’activité de facility management déployée par D.________Sàrl et facturée par elle à B.________. En l’occurrence, avec les premiers juges, il y a lieu de constater que D.________Sàrl était uniquement une société de facturation et qu’elle n’a eu aucune activité réelle (cf. jugt. p. 88). Ainsi, toutes les activités déployées par C.________ l’ont été exclusivement pour le compte de G.________SA, excepté la prétendue mission du prénommé en faveur de D.________Sàrl rémunérée à hauteur de 5'000 fr., et dont on ignore en définitive en quoi elle a consisté. Par rapport aux faits concernés par les activités de C.________, lesquels n’ont pas été spécifiquement qualifiés par le Ministère public dans son acte d’accusation, le tribunal de première instance a retenu l’infraction de gestion déloyale aggravée, considérant que les activités en cause exécutées dans le cadre des deux contrats de prestations passés avec B.________ relevaient des attributions de G.________SA (jugt p. 93). 4.3.2 Cela étant, considérant, comme vu précédemment, que le travail déployé par l’employé de G.________SA relevait bel et bien des activités de celle-ci, le comportement reproché aux appelants consiste à avoir fait croire à B.________ que C.________ travaillait pour D.________Sàrl afin d’inciter cette entreprise à payer les factures liées à l’exécution des deux contrats de prestations en faveur de cette dernière société. Il n’est donc pas fait grief aux trois appelants d’avoir fait travailler C.________ ni d’avoir réalisé des activités dans le cadre des deux contrats de prestations avec B.________, mais de ne pas avoir établi ces contrats au nom de G.________SA et de ne pas lui avoir fait profiter des revenus. Dans cette perspective, il est normal que C.________ ait travaillé pour G.________SA, qui devait en assumer les coûts, l’activité ayant été purement fictive du côté de D.________Sàrl. Les faits exposés sous cas 2 supra doivent donc être considérés comme absorbés dans le cadre de la gestion déloyale des intérêts publics liés à l’établissement des deux contrats de prestations au nom de D.________Sàrl. La manœuvre des appelants a ainsi consisté à faire croire à B.________ que D.________Sàrl avait une réalité propre pour obtenir, au travers de cette société, le versement des contre-prestations financières liées aux deux contrats litigieux alors que les activités en cause ont en réalité été exécutées – du moins auraient dû l’être – par G.________SA. Les faits en cause doivent donc être considérés comme faisant partie des activité illicites reprochées aux appelants dans le cadre du cas 1, comme semble également l’avoir retenu le Ministère public dans son acte d’accusation, et doivent donc être qualifiés de gestion déloyale des intérêts publics. 4.3.3 Les appelants contestent l’incrimination des actes concernant C.________ et qui ont été qualifiés de gestion déloyale aggravée par les premiers juges. Dans la mesure où ces faits ne doivent pas être qualifiés de manière indépendante, ainsi qu’on vient de le voir, leurs moyens développés à cet égard sont sans objet. 4.4 Vente de D.________Sàrl et contrat d’exclusivité accordé à [...] (cf. cas 3 supra ) 4.4.1 Il est également reproché à S.________ et R.________, avec la complicité de H.________, d’avoir abusivement conclu un contrat d’exclusivité de très longue durée entre leur société D.________Sàrl et G.________SA, dans le but d’augmenter la valeur de la première avant de la vendre à [...]. Le tribunal correctionnel a libéré les trois prévenus de ces faits, en considérant que G.________SA n’avait pas subi de dommage dans le cadre de la vente de D.________Sàrl puis en accordant un contrat d’exclusivité de longue durée à [...]. Au contraire, G.________SA aurait même profité de cette exclusivité, le contrat n’ayant pas été résilié mais quelque peu renégocié. Les premiers juges ont donc considéré qu’il existait un doute sérieux sur l’existence d’un dommage. En appel, le Ministère public soutient que les faits dénoncés réalisent les conditions de l’infraction de gestion déloyale des intérêts publics. 4.4.2 En l’espèce, il convient de rappeler que D.________Sàrl n’a eu aucune activité propre en dehors de ce que G.________SA pouvait générer par la mise en valeur du site dont elle assurait le développement. Le but de D.________Sàrl entrait donc en conflit d’intérêts direct avec G.________SA. Les trois prévenus ont été sollicités pour fonctionner en qualité d’administrateurs au sein de G.________SA en raison de leurs compétences et de leurs connaissances professionnelles spécifiques. Ce n’était donc pas pour que ces compétences et ces connaissances servent d’autres intérêts, en particulier les leurs, au travers de D.________Sàrl. On comprend des déclarations d’M.________ – CEO et administrateur délégué du [...] ayant participé aux négociations essentielles lors du rachat de D.________Sàrl – que le prix de vente de D.________Sàrl a été négocié en fonction des honoraires à retirer des mandats confiés par G.________SA. En particulier, celui-ci a précisé que si D.________Sàrl n’avait pu, lors de la vente, présenter que les seuls contrats en cours, la société [...] n’aurait été disposée à payer qu’entre 100'000 fr. et 150'000 fr. pour l’acquérir. Cela démontre, à l’évidence, l’existence d’un lien direct entre les droits exclusifs que pouvaient concéder G.________SA et la valeur de D.________Sàrl. 4.4.3 Les déclarations d’M.________ – dont aucun motif ne commande de s’écarter, celui-ci n’ayant notamment pas cherché à accabler les prévenus – à ce sujet sont notamment les suivantes (PV aud. 21, ll. 244 à 373) : « […] b) Vente de D.________Sàrl Référence est faite à vos déclarations du 31 mai 2013 (PV aud. 5, R. 11) qui vous sont relues. A teneur de vos déclarations liminaires de ce jour, veuillez nous indiquer comment le « critère principal » pris en compte dans la « calculation » du prix d’achat d’une société telle D.________Sàrl est traité pour correspondre à « un multiple des honoraires à retirer du mandat » ? Je tiens tout d’abord à vous exposer le calcul relatif aux honoraires existants : prenons le cas d’un mandat portant sur une valeur de CHF 100.- susceptible de dégager un bénéfice de CHF 10.- par année. Au regard de ce bénéfice récurrent, il est d’habitude d’articuler un prix de vente entre CHF 100.- et CHF 200.-. S’agissant des honoraires futurs, le calcul est le même si l’immeuble est en construction (revenu sûr). Le gain est pris en compte à hauteur de 50 % seulement si les entrées envisagées sont « très probables » et tout autre gain ne sera tout simplement pas pris en considération. De mémoire, l’exercice antérieur au début de la due diligence devait présenter des honoraires de facility management à hauteur de CHF 100'000.- au bilan de D.________Sàrl (sauf erreur). J’ai le souvenir que H.________ voyait un grand potentiel de développement dans ce domaine censé justifier un prix de vente augmenté. L’essentiel des discussions/négociations a dès lors porté sur les contrats potentiels futurs. J’imagine que si D.________Sàrl n’avait pu présenter que les seuls contrats en cours précités, [...] n’aurait été disposé à payer pour l’acquérir qu’entre CHF 100'000.- / 150'000.-. Il résulte de la procédure que le 8 mars 2011 ‒ avec effet rétroactif au 1 er janvier 2011 soit à une date antérieure au transfert effectif de leur société [...] au [...] ‒ les prévenus ont concédé au nom de [...] une « exclusivité gestion facilty management » à D.________Sàrl / W.________ sur le site de G.________SA et ce, pour une période de dix ans (P. 4/1.2.9). Confirmez-vous avoir été informé de l’existence de cette transaction à venir respectivement de cette exclusivité, dans le cadre de la due diligence menée (P. 14/2) ? Dans le prolongement de l’articulation des contrats que vous me présentez et de leurs dates de signature / d’effectivité, je confirme que le contrat d’exclusivité était censé donner de la valeur à la société que nous acquerrions. Je me rappelle que dans le cadre du processus de décision interne à [...] (les documents d’évaluation du prix d’achat émanaient de [...]), nous étions conscients et disposés à prendre un certain risque au sujet des mandats futurs. A tout le moins au début du processus, nous n’étions pas certains que les organes habilités de G.________SA – indépendamment du rôle de R.________ et S.________ – donnent leur accord à pareil contrat d’exclusivité. Spontanément, je tiens à indiquer avoir le souvenir que S.________ et R.________ ont pris grand soin durant le processus de négociations à ne pas engager G.________SA sur des éléments qui viendraient à ne pas se réaliser et que nous pourrions leur reprocher. Il importait que dans le cadre de la « constellation G.________SA », soit G.________SA et les propriétaires susceptibles de donner des mandats de facility management, aucun engagement ne soit pris avant le transfert de société. J’ajoute que [...] nous avait signalé, au sujet de D.________Sàrl, une tenue comptable « négligée », « pas à jour » et des « postes ouverts » (toutes les écritures n’avaient pas été passées). Sur interpellation, j’indique que cela ne nous a pas fait peur. Il s’agit malheureusement d’un « grand classique ». S’agissant de l’augmentation de CHF 100’000.- à CHF 200'000.- pour le prix de vente, j’ajoute que le prix final était « élevé » ; il correspondait à une vision de développement avec prise en charge du facility management où « tout le quartier ». S.________ et R.________ nous avaient expliqué qu’ils n’étaient pas des professionnels de la gérance, qu’ils avaient créé D.________Sàrl pour répondre à un besoin au début de l’exploitation du premier bâtiment. Le développement du site nécessitait une professionnalisation qu’ils ne pouvaient pas assumer. Ils ne m’ont jamais parlé d’un conflit d’intérêts avec leurs fonctions au sein de G.________SA. Sur interpellation, je déclare ne pas avoir su à cette époque qu’ils étaient désormais tenus par les lettres de mission ; je l’ai deviné lorsque j’ai été convoqué par [...] et que nous avons failli perdre l’ensemble de notre mandat. Sans doute, au début des négociations, les prévenus avaient-ils en tête un prix supérieur à CHF 200'000.-. Ils ne devaient toutefois pas être très supérieurs à ce montant, auquel cas, en effet, aucune négociation n’aurait débuté. Nous avons appris postérieurement à la signature du contrat de vente entre D.________Sàrl et [...], que le contrat d’exclusivité pouvait être signé. Selon moi, eu égard à leurs réticences à prendre des engagements qu’ils ne pouvaient tenir seuls, nos interlocuteurs devaient respecter un processus interne propre à G.________SA. Référence est faite à la P. 14/5 et singulièrement à son chi 1.3 let. c « Etablissement d’accord entre les Parties d’un tableau prévisionnel des mandats futurs ». Veuillez nous expliquer la portée, notamment financière, de cette clause ? Il s’agissait là des conditions supplémentaires qui devaient être remplies pour que le second montant de CHF 100’000.- soit versé aux vendeurs (prix total de CHF 200'000.-). Selon ma compréhension, cette phrase se réfère à l’annexe 4.3. Référence est faite à cette même P. 14/5, en particulier à son annexe 4.3. Quelle est la portée du contrat d’exclusivité précité sur les différents postes de ce tableau ? La clause d’exclusivité visait simplement à rassurer l’acheteur, qui devait procéder à des investissements conséquents (engagements de personnes), sur une collaboration à « très long terme ». D’après vos souvenirs, si dite transaction n’avait pas été préalablement conclue, quel en aurait été l’impact sur la vente de D.________Sàrl respectivement son prix ? Si la transaction d’exclusivité n’avait pas été conclue, la vente aurait quand même été conclue et le prix payé mais « j’aurais été très fâché ». Si j’avais été convoqué par le conseil d’administration pour me voir expliquer qu’un appel d’offres allait être lancé, j’aurais aussi été « très fâché ». Je vous explique que j’avais en effet reçu des « assurances de principe » de R.________ et S.________ que tout serait entrepris pour que nous disposions d’une exclusivité à la condition évidemment d’y mettre les moyens. Messieurs R.________ et S.________ nous ont présenté cette perspective comme un challenge. C’est l’occasion de rappeler que nous avions confiance en ces personnes pour avoir travaillé en faveur de D.________Sàrl durant plusieurs années (gestion des baux et comptabilité). Référence est faite à la P. 14/11, qui vous est soumise. Veuillez nous en confirmer la date puis nous en exposer les tenants et aboutissants. Pour moi, cette lettre date de 2012. A la réflexion, a-t-elle peut-être effectivement été rédigée par le fils de [...]. De mémoire, j’ai pu recevoir un téléphone de R.________ m’expliquant qu’il était confronté à des difficultés au sein de G.________SA en lien avec la transaction que nous discutons. Il est probable qu’à la suite j’aie pris contact avec le fils de [...] afin de préparer une réponse. Ce courrier se réfère à une « optique à long terme » ; je vous confirme que, dans notre esprit, il s’agit d’une durée de 5 à 10 ans. Vous êtes un administrateur / gestionnaire expérimenté au bénéfice, jusqu’à ce jour, d’une carrière respectable. Comment expliquez-vous n’avoir pas décelé le germe d’un conflit d’intérêts entre les différentes « casquettes » des prévenus (administrateurs de G.________SA / propriétaires-cédants de D.________Sàrl) en relation avec une transaction ‒ le contrat d’exclusivité précité ‒ dont l’issue influençait directement le prix de d’acquisition de D.________Sàrl par le [...] ? J’ai abordé la question avec mon associé [...]. [...] avait dû s’assurer que S.________, R.________ et H.________  étaient bien les propriétaires économiques de D.________Sàrl. J’avais personnellement posé la question à R.________ et S.________ si G.________SA était au courant de l’activité qu’ils déployaient au sein de D.________Sàrl. J’ai reçu une réponse positive ; ils m’ont indiqué que les gérants de cette Sàrl figuraient, du reste, au Registre du commerce et que, n’étant pas personnellement employés à plein temps, ils demeuraient libres de leur activité accessoire. Ceci a dû se passer au début du processus de due diligence. Sur interpellation expresse, j’affirme que S.________ et R.________ que les organes de G.________SA étaient au courant. Dans le cadre de cette vente de D.________Sàrl, comment expliquez-vous que C.________ ‒ formellement employé par G.________SA ‒ soit aussi « transféré » au sein du [...] (W.________) ? Spontanément, je vous indique que pour moi C.________ est employé de D.________Sàrl. Pour moi, c’est la raison de son transfert. De mémoire, [...] nous avait rendus attentifs qu’il devait « travailler un peu pour G.________SA […] ». 4.4.4 Il ressort des éléments qui précèdent que D.________Sàrl – société de facturation sans activité propre – n’avait aucune valeur en dehors des droits exclusifs que pouvait – seule – concéder G.________SA dans le domaine concerné. Par voie de conséquence, la vente du capital action de 200'000 fr. s’apparentait à une sorte de « pot-de-vin » versé pour obtenir les contrats d’exclusivité convoités par le [...] en s’assurant le vote des trois administrateurs les plus influents de G.________SA. Quoi qu’il en soit, le montant de la vente des actions de D.________Sàrl correspondait à ce qu’une société était prête à investir pour obtenir des contrats d’exclusivité pour les immeubles existants et les projets immobiliers futurs. Or, ces droits étaient la propriété exclusive de G.________SA et l’argent en question devait revenir à cette société. Il y a ainsi lieu de retenir, comme le soutient le Ministère public, l’infraction de gestion déloyale des intérêts publics pour les faits décrits au cas 3 supra également. Quant à H.________, celui-ci a également vendu ses actions à [...]. Selon les propres déclarations d’M.________, cet appelant a participé à la négociation du prix de vente des actions de D.________Sàrl. Interrogé sur cette question, H.________ a du reste expressément reconnu à l’audience d’appel avoir participé directement à la négociation de la vente de D.________Sàrl au [...] (cf. supra , p. 9). Celui-ci ne saurait ainsi être considéré comme un simple complice, mais bien comme un coauteur aux côtés de R.________ et S.________. En effet, H.________ ne pouvait vendre les parts qu’il détenait dans D.________Sàrl à [...] sans avoir parfaitement compris quels étaient les tenants et aboutissants de cette opération financière, et il en a bénéficié au même titre que ses coprévenus. Il s’ensuit que les trois appelants doivent être condamnés pour gestion déloyale des intérêts publics en raison des faits décrits au cas 3. 4.5 Facture du 17 novembre 2010 de Z.________Sàrl à E.________ (cf. cas 4 supra ) 4.5.1 Il est ensuite reproché à S.________ et R.________ d’avoir détourné une créance de G.________SA au profit de leurs sociétés Z.________Sàrl et K.________Sàrl. La transaction en question ne résulte pas d’un accord écrit, mais d’un engagement oral d’E.________ de verser une commission à celui qui lui trouverait un ou des locataires pour son bâtiment. Seules deux factures ont été émises par la société de R.________, savoir les 17 novembre et 24 décembre 2010, pour des montants respectifs de 150'000 fr. (commission) et 11'400 fr. (TVA). La moitié de ces montants a été reversée à la société K.________Sàrl appartenant à S.________ le 20 décembre 2010. Le tribunal de première instance a retenu un abus de confiance en relation avec ces faits. En appel, le Ministère public soutient qu’il s’agirait d’un abus de confiance qualifié en raison de la qualité de fonctionnaire des deux prévenus intéressés. 4.5.2 En l’espèce, on se trouve en présence de la même problématique que pour le versement des rémunérations prévues dans les deux contrats de prestations avec B.________ (cf. cas 1 et consid. 4.2.1 supra ), hormis qu’il s’agit dans ce cas d’une commission pour la recherche de locataires. Là encore, l’argent n’a jamais transité par les comptes de la société G.________SA, mais a été versé sur le compte de la société Z.________Sàrl de R.________, qui a ensuite reversé la moitié de la somme à la société K.________Sàrl de S.________. Les conditions de l’infraction d’abus de confiance ne sont ainsi pas remplies, faute de valeur patrimoniale confiée. Les prévenus, administrateurs, ont été choisis par les collectivités publiques pour leur compétence et leur expérience professionnelle de manière à promouvoir au mieux les buts de G.________SA. Dans ce contexte, on comprend difficilement que les appelants S.________ et R.________ aient pu se croire autorisés à percevoir des rémunérations complémentaires pour des tâches relevant de leurs activités au sein de G.________SA. D’ailleurs, les lettres de mission signées par chacun d’eux exigeaient de leur part l’annonce de toute situation pouvant les mettre en conflit d’intérêts, ce qui était clairement le cas en l’espèce. En travaillant à la recherche de locataires pour E.________, ces derniers ont réalisé une activité dans le cadre des missions fixées à G.________SA. Dans ces conditions, les administrateurs concernés devaient établir une facture au nom de cette dernière société et la commission de 150'000 fr. versée par E.________ devait revenir à celle-ci. Le fait, pour E.________, d’avoir rémunéré la recherche de locataires pour son bâtiment est la concrétisation d’un contrat de mandat oral de courtage, mandat qui devait être conclu par les prévenus au nom et pour le compte de G.________SA. Il s’agit bien d’un acte juridique conclu au détriment des intérêts publics que les deux administrateurs avaient pour mission de défendre. Pour le surplus, la Cour de céans fait sien le raisonnement convaincant des premiers juges (cf. jugt pp. 105 s. – art. 82 al. 4 CPP), en particulier s’agissant des déclarations à géométrie variable des deux appelants, contredites par celles du représentant d’E.________, et sur le fait que cette dernière société a toujours cru que Z.________Sàrl faisait partie de G.________SA. Les conditions de l’art. 314 CP sont ainsi également remplies en relation avec les faits décrits au cas 4 supra . 4.5.3 A cet égard, les appelants S.________ et R.________ opposent, pour l’essentiel, leurs propres déclarations à celle des représentants d’E.________, sans les étayer par un quelconque élément de preuve objectif. Ils font valoir des contradictions dans les déclarations d’[...], excluant que la société Z.________Sàrl puisse être confondue avec G.________SA. Cela étant, la question de savoir à qui E.________ a voulu verser la commission de 150'000 fr. importe peu. Ce qui est décisif en revanche, c’est que cette commission aurait dû revenir à G.________SA, dont les deux appelants assumaient la responsabilité compte tenu de leur qualité d’administrateur. La recherche d’un locataire pour E.________ entrait dans leur compétence et la rémunération correspondante devait revenir à la société dont ils avaient le devoir de sauvegarder les intérêts (publics), étant rappelé qu’aucun contrat de courtage n’a été signé en faveur de Z.________Sàrl. Au reste, les déclarations des deux appelants – qui ont encore prétendu en appel avoir été victimes d’un piège tendu par les représentants d’E.________, sont dépourvues de crédibilité et doivent être écartées pour les motifs retenus par les premiers juges (cf. jugt, pp. 105 s.). Quant à la thèse des deux appelants consistant à soutenir qu’une commission de 150'000 fr. aurait été payée par E.________ avant même que le terrain du projet [...] ne lui soit vendu, celle-ci est également dénuée de toute crédibilité et ne repose, là encore, sur aucun élément matériel. 4.6 Frais de représentation (cf. cas 5 supra ) 4.6.1 Il est enfin fait grief à S.________ et R.________ d’avoir perçu illicitement des remboursements de frais indus. Les premiers juges ont retenu l’infraction de gestion déloyale aggravée en relation avec ces faits, considérant que les intéressés avaient perçu des montants indus au-delà de ce que la réglementation interne de G.________SA autorisait, sans qu’il ne soit établi – comme le prétendent les appelants – que cela aurait été autorisé par les autres membres du conseil d’administration lors des séances des 28 octobre 2010 et 18 novembre 2011. Le fait qu’il aient remboursé lesdits montants n’y changeait rien, tout comme un éventuel accord des autres membres du conseil d’administration – non établi – les prévenus ayant clairement prélevé des montants auxquels ils n’avaient pas droit sur la base des règlements internes de l’entreprise. 4.6.2 Ces considérations peuvent et doivent être suivies. Certes, comme le soutiennent les deux appelants concernés, les budgets soumis au conseil d’administration de G.________SA pour les années 2011 et 2012 comportaient respectivement l’indication de 24'000 fr. et de 20'000 fr. à titre de frais de représentation. Cela étant, ces montants devaient correspondre aux frais forfaitaires approuvés par l’Administration fiscale (6'000 fr. pour un taux d’activité de 100%, soit 4'800 fr. pour un taux d’activité de 80% comme celui des appelants) ainsi qu’à ceux qui pouvaient être remboursés sur la base de justificatifs. Or, les deux appelants ont ensuite utilisé une partie de la somme budgétisée pour se faire verser par G.________SA une rémunération supplémentaire à l’insu du conseil d’administration, en ventilant le montant des frais de représentation litigieux dans deux comptes distincts, soit un compte « honoraires CA », en sus du poste « Jeton de présence », et un compte « frais de représentation &amp; réception ». Du reste, les appelants n’ont pas contesté devoir cet argent puisqu’ils ont signé une convention avec G.________SA et qu’ils l’ont remboursé par compensation. R.________ et S.________ ont ainsi prélevé des montants auxquels ils n’avaient pas droit en puisant dans le budget des frais de représentation. Par ces faits, ils se sont encore rendus coupables de gestion déloyale des intérêts publics. 5. Le Ministère public requiert que S.________ et R.________ soient chacun condamnés à une peine privative de liberté de 22 mois et à une peine pécuniaire de 50 jours-amende à 100 fr., et que H.________ soit condamné à une peine privative de liberté de 15 mois et à une peine pécuniaire de 40 jours-amende à 100 francs. Il fonde principalement ces réquisitions sur l’aggravation des qualifications juridiques à retenir, sur le fait que les prévenus doivent également être condamné pour gestion déloyale des intérêts publics pour la vente de D.________Sàrl et les contrats d’exclusivité conclus par la suite, sur l’augmentation des montants indûment perçus, au détriment de G.________SA, ainsi que sur les dénégations, la mauvaise foi et l’absence de prise de conscience des prévenus. Les appelants, qui concluent à leur libération de toute infraction, ne développent pas de moyens subsidiaires quant à la question de la peine.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 5.1.2 Aux termes de l'art. 48 let. e CP, le juge atténue la peine si l'intérêt à punir a sensiblement diminué en raison du temps écoulé depuis l'infraction et que l'auteur s'est bien comporté dans l'intervalle. 5.1.3 L'art. 42 al. 1 CP dispose que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5.1.4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 5.2 5.2.1 En l’espèce, les éléments à charge et à décharge retenus par les premiers juges concernant S.________ ne prêtent pas le flanc à la critique et ne sont du reste pas contestés par ce dernier. Sa culpabilité est effectivement lourde. Il s'est livré à des agissements tombant sous le coup de la loi pénale durant plus de deux ans, a obtenu des montants indus importants et il y a lieu de considérer qu’il a agi par appât du gain. Il a de surcroît trahi la confiance de la collectivité publique. Son attitude est d'autant moins admissible que les rémunérations obtenues dans le cadre de ses activités pour G.________SA étaient très importantes. Quant à sa prise de conscience, elle est nulle puisque l’intéressé persiste à penser à ce jour qu’il a toujours agi dans l'intérêt de la plaignante, alors qu’il a profité de sa position pour encaisser de l’argent au détriment de G.________SA, par le biais de sociétés tierces lui appartenant. À décharge, il convient de retenir le remboursement des frais de représentation perçus indûment, mais dans une mesure limitée compte tenu des faibles montants en cause en comparaison des autres cas et de l’absence de toute reconnaissance de responsabilité pénale par l’appelant à ce sujet. On retiendra également l’écoulement du temps et l’impact social et moral de la présente procédure sur la vie de l’intéressé (cf. jugt. p. 110). Cela étant, les faits sont graves et justifient une peine privative de liberté conséquente, malgré l’absence d’antécédent. S.________ doit être condamné pour 4 cas de gestion déloyale des intérêts publics, étant précisé que les faits du cas 2 sont englobés dans ceux du cas 1, et que la gravité des infractions considérées est fonction des montants indûment perçus, le comportement criminel étant en substance semblable dans chaque cas. C’est en outre à juste titre que le Ministère public estime que la nouvelle qualification juridique des infractions justifie l’augmentation des peines puisqu’il s’agit d’infractions qualifiées, de même que la condamnation de l’appelant pour le cas 3 dont il avait été libéré. Ainsi, le cas 1, le plus grave au vu des montants en cause (plus de 500'000 fr.), doit être sanctionné d’une peine privative de liberté de 12 mois, augmentée par l’effet du concours de 5 mois pour le cas 3 (200'000 fr.), de 4 mois pour le cas 4 (150'000 fr.) et de 1 mois pour le cas 5 (10'400 fr.) , soit 22 mois au total. L’art. 314 2 e phrase CP commande le prononcé d’une peine pécuniaire en cas de prononcé d’une peine privative de liberté. La quotité requise par le Ministère public, soit 50 jours-amende, est adéquate compte tenu de la culpabilité de S.________ rappelée ci-dessus et de l’écoulement du temps. Le montant du jour-amende sera en revanche fixé à 30 fr. pour tenir compte de la situation financière actuelle de l’intéressé. Cette sanction est compatible avec l’octroi du sursis complet, dont l’intéressé remplit les conditions, le délai d’épreuve pouvant être fixé à 2 ans. 5.2.2 La culpabilité de R.________ est équivalente à celle de S.________, impliqué de la même manière dans les différents cas retenus à leur encontre. Son activité criminelle motivée par l’appât du gain a également duré un peu plus de deux ans et le total des montants indûment perçus sont pratiquement identiques, savoir plusieurs centaines de milliers de francs. Il a aussi trahi la confiance de la collectivité publique et n’a pas davantage pris conscience de la gravité de ses actes, puisqu’il persiste également affirmer avoir agi dans l'intérêt de la plaignante, alors qu’il a encaissé de l’argent à son détriment par le biais de sociétés tierces lui appartenant. À décharge, il convient également de prendre en considération, dans une mesure limitée, le remboursement des frais de représentation, et plus concrètement l’écoulement du temps, l’impact de la procédure et la sanction sociale vécue. C’est ainsi une peine privative de liberté de 22 mois et une peine pécuniaire de 50 jours-amende à 100 fr. le jour avec sursis durant 2 ans qui doit être prononcée contre R.________, pour les mêmes motifs que ceux évoqués au considérant précédent, le montant du jour-amende étant adapté à sa situation personnelle et économique spécifique. 5.2.3 La culpabilité de H.________ est légèrement moins lourde que celle de ses deux coaccusés, dans la mesure où son activité criminelle a duré moins longtemps. Par ailleurs, il doit répondre de deux cas seulement, étant néanmoins précisé qu’il s’agit de ceux impliquant les montants les plus importants. Il est ainsi impliqué de la même manière dans le cas 1, le plus grave, ainsi que dans la vente de D.________Sàrl, en tant que coauteur et non simple complice. Il a également trahi la confiance de la collectivité publique et agi par appât du gain, percevant indûment d’importants montants au détriment de la plaignante. Pour le reste, les mêmes éléments à charge – y compris en particulier l’absence de prise de conscience – et à décharge peuvent et doivent être pris en compte le concernant, à l’exception du remboursement des frais de représentation, puisqu’il n’est pas impliqué dans ce cas. Ainsi, le cas 1, le plus grave, doit être sanctionné d’une peine privative de liberté de 11 mois, augmentée par l’effet du concours de 4 mois pour le cas 3. C’est ainsi une peine privative de liberté de 15 mois au total qui doit être prononcée contre H.________. Quant à la peine pécuniaire que l’art. 314 2 e phrase CP commande de prononcer, elle sera arrêtée conformément à la réquisition adéquate du Ministère public, soit à 40 jours-amende. Le montant du jours-amende sera arrêté à 30 fr., pour tenir compte de la situation personnelle et économique spécifique de l’intéressé. Enfin, H.________ bénéficiera du sursis, dont il remplit les conditions. Le délai d’épreuve sera arrêté à 2 ans. 6. Le Ministère public requiert le prononcé d’une créance compensatrice contre les trois prévenus, correspondant au produit de la vente de D.________Sàrl. 6.1 Aux termes de l'art. 71 CP, lorsque les valeurs patrimoniales à confisquer ne sont plus disponibles, le juge ordonne leur remplacement par une créance compensatrice de l'Etat d'un montant équivalent (al. 1, 1e phrase). Le juge peut renoncer totalement ou partiellement à la créance compensatrice s'il est à prévoir qu'elle ne serait pas recouvrable ou qu'elle entraverait sérieusement la réinsertion de la personne concernée (al. 2). La créance compensatrice doit avoir pour but d'absorber effectivement un avantage illicite (ATF 119 IV 17 consid. 2c ; Dupuis et al. [éd.], op. cit., n. 9 ad art. 71 CP). Elle doit être en principe arrêtée selon le principe des recettes brutes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Jacquemoud-Rossari, La créance compensatrice : état des lieux de la jurisprudence, in SJ 2019 II pp. 281 ss., spéc. p. 291).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TF 6B_352/2014 du 22 mai 2015 consid. 8.1, non publié aux ATF 141 IV 273 ; Dupuis et al. [éd.], op. cit., n. 16 ad art. 71 CP). 6.2 En l’espèce, les premiers juges ont considéré qu’il n’y avait pas lieu de mettre à la charge des prévenus une créance compensatrice, dès lors que leur situation financière s’était fortement dégradée depuis les faits et que le prononcé d'une telle sanction allait entraver sérieusement leur réinsertion. De plus, ils étaient d’ores et déjà reconnus débiteurs des montants réclamés par la plaignante pour tous les cas retenus, de sorte qu’ils devraient réparer le dommage causé et rien ne justifiait de leur faire payer deux fois le même montant. Ces considérations ne peuvent être suivies que partiellement. En effet, les trois prévenus ont vendu leur société D.________Sàrl, qu’ils détenaient tous trois à parts égales, pour la somme de 200'000 fr., et ce au préjudice de G.________SA, respectivement des intérêts de l’Etat. Or, la plaignante n’a pas pris de conclusions civiles à cet égard, et rien ne justifie que les intéressés demeurent enrichis en ce qui concerne cet aspect de leurs activités criminelles. Au demeurant, il n’apparaît pas que leur situation financière soit à ce point obérée que le prononcé d’une créance compensatrice porterait préjudice à leur réinsertion, étant constaté selon extrait du Registre du commerce que les intéressés sont encore tous propriétaires de leur société K.________Sàrl, Z.________Sàrl et [...]. Cela est vrai même en ce qui concerne H.________, qui perçoit l’AVS et qui n’a pas été en mesure de dire à combien s’élèverait le découvert de sa faillite personnelle. Partant, S.________, R.________ et H.________ seront reconnus débiteurs, solidairement entre eux, en faveur de l’Etat de Vaud, d’une créance compensatrice de 200'000 francs. 7. 7.1 Compte tenu de la confirmation de leur condamnation, c’est en vain que les appelants concluent au rejet des conclusions en dommages-intérêts au sens de l’art. 433 CPP prises contre eux et allouées par les premiers juges. 7.2 Subsidiairement, R.________ et S.________ ont conclu à ne pas être reconnus solidairement responsables du montant de 538'000 fr. mis à leur charge à titre de dommages-intérêts, chacun devant, selon eux, être reconnu débiteur du tiers de ce montant en raison de l’insolvabilité de H.________. Cette conclusion tombe à faux, dans la mesure où chaque prévenu engage sa responsabilité pour l’ensemble de ce dommage en raison de ses actes propres, indépendamment du comportement de ses coprévenus. Il était en effet loisible à chaque intéressé – chacun ayant connaissance des agissements illicites consistant à créer une société de facturation pour encaisser des montants devant revenir à G.________SA – d’empêcher la survenance du dommage. On ne voit ainsi pas en quoi l’insolvabilité de l’un d’eux, au demeurant non établie, devrait être reportée sur la plaignante, envers laquelle chacun assumait une responsabilité d’administrateur. 8. Me Alexandre Curchod conteste le montant de son indemnité d’office, arrêtée à 17'754 fr. au lieu des 29'812 fr. 70 réclamés, faisant notamment valoir que l’écoulement du temps depuis le début de l’instruction a nécessité de consacrer de nombreuses heures à la reprise du dossier, qui est volumineux et complexe, que la durée de 43 heures de préparation d’audience n’est pas excessive, que l’acte d’accusation est long, et qu’il n’y a en définitive aucune erreur dans la computation des heures opérée dans ses listes d’opérations. 8.1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6B_74512009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BLV 211.02.3], applicable par renvoi de l'art. 26b TFIP [tarif des frais de procédure et indemnités en matière pénale du 28 septembre 2010;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la 107 consid. 3b). 8.2 En l’espèce, les premiers juges se sont écartés de l’activité annoncée pour fixer l’indemnité due au défenseur d’office de R.________ et S.________. Ils ont considéré qu’il avait produit deux listes d’opérations identiques pour chacun des prévenus qu’il représentait et qu’il s’agissait en réalité des mêmes opérations qu’il convenait par conséquent de diviser par moitié. Il était en effet inconcevable que toutes les opérations indiquées aient été développées à double, le même jour. La durée de 43 heures relative à la préparation de l’audience était par ailleurs excessive. En l’occurrence, il est indéniable que la défense de deux prévenus permet l’économie d’une multitude d’opérations qui seraient sinon réalisées à double, la question étant de savoir dans quelle mesure le gain de temps est susceptible de s’exprimer en cas de défense multiple. Me Curchod soutient avoir déjà réparti par moitié le temps total consacré au dossier entre ses deux mandants. Il n’en demeure pas moins que 43 heures (plus de 5 jours de travail) de préparation pour l’audience de jugement, certes d’une durée de trois jours et avec l’audition de quelques témoins, s’avèrent manifestement excessives, sauf à considérer que le défenseur d’office n’avait encore jamais étudié le dossier. L’autorité de première instance a toutefois adopté un raisonnement trop sévère en procédant à une division par moitié du temps annoncé dans les deux listes d’opérations. Il faut toutefois relever que le défenseur lui a passablement compliqué la tâche en procédant de cette manière. Il y a quoi qu’il en soit lieu de tenir compte du fait que le dossier est effectivement volumineux et que des questions complexes se posent. Il s’agit toutefois des mêmes problématiques pour les deux prévenus. Les faits qui leur sont reprochés sont par ailleurs identiques. Ainsi, admettra-t-on que les opérations nécessaires à la défense de deux prévenus sont quelque peu supérieures à ce qu’il est nécessaire d’engager pour la défense d’un seul, mais non au point d’admettre deux listes d’opérations identiques, telles que celles qui ont été déposées par le recourant le 19 mai 2021. Il convient dès lors de comptabiliser l’activité du recourant et de sa stagiaire de la manière suivante : - Pour l’avocat breveté, sur les 61,1 heures alléguées pour chaque prévenu, on ne retiendra que 36,6 heures – correspondant à la prise en compte de toutes les opérations, à l’exception de l’activité alléguée pour la préparation de l’audience et au temps estimé d’audience (61,1h – 24,5h) – qui peuvent effectivement être comptabilisées à double, ce qui représente 13'176 fr. d’honoraires au tarif horaire de 180 francs ; - Pour l’avocat breveté, le temps d’audience effectif, par 22,5 heures, sera comptabilisé, mais non à double, soit 4'050 fr. d’honoraires au tarif horaire de 180 francs ; - Pour l’avocat breveté encore, le temps de préparation d’audience, par 16,7 heures, sera comptabilisé sans réduction, mais non à double, dans la mesure où la durée de 16,7 heures (plus de deux jours de travail) apparaît clairement suffisante pour les motifs exposés ci-avant – notamment le fait que les questions juridiques qui se posent et les faits reprochés sont identiques pour les deux prévenus – savoir 3'006 fr. d’honoraires au tarif horaire de 180 francs ; - Enfin, pour l’avocate-stagiaire, sur les 18,85 heures annoncées, on retiendra 6,85 heures, savoir le total desdites heures moins le temps consacré à la préparation de l’audience, les heures comptabilisées pour l’avocat breveté étant déjà suffisantes, soit 1'507 fr. d’honoraires au tarif horaire de 110 francs. Ainsi, les honoraires admis s’élèvent à 21'739 fr. (13'176 fr. + 4'050 fr. + 3'006 fr. + 1'507 fr.), auxquels s’ajoutent les débours forfaitaires, par 411 fr. 40, les vacations, par 480 fr., et la TVA, par 1'744 fr. 35, soit une indemnité d’office de 24'398 fr. 10 au total. Le recours de Me Alexandre Curchod doit donc être partiellement admis, dans la mesure qui précède. 9. Le Ministère public conclut à ce que les appelants soient condamnés au paiement de l’entier des frais de la procédure de première instance. 9.1 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9.2 En l’espèce, les premiers juges ont considéré que les prévenus étaient condamnés pour l'ensemble des cas mentionnés dans l'acte d'accusation, à l'exception de celui relatif à la vente de D.________Sàrl, de sorte qu’il convenait de mettre à leur charge 80% des frais de la cause, le solde étant laissé à la charge de l’Etat. Pour tenir compte de l’implication différente de R.________, S.________ et H.________, le dernier nommé n’étant pas impliqué dans les deux derniers cas, les frais communs ont été mis par 32% chacun à la charge des premiers, et par 16% à la charge de H.________, y compris en sus une part de l’indemnité due à leur défenseur d’office, dans les mêmes proportions, la part d’indemnité due au défenseur commun de R.________ et S.________ étant partagée par moitié entre eux. En l’occurrence, les prévenus étant condamnés pour tous les cas de l’acte d’accusation, il se justifie effectivement de mettre l’entier des frais communs de première instance à leur charge, y compris l’entier de l’indemnité due à leur défenseur respectif, celle nouvellement due – conformément au considérant qui précède – au défenseur commun de R.________ et S.________ étant mise par moitié à la charge de chacun d’eux. Sous déduction de la part des indemnités d’office mises à la charge des prévenus, le 80% des frais communs s’élevait à 25'660 fr. 50 au total ([17'090 fr. 60 – 7'101 fr. 60] x 2) + (23'248 fr. 15 – 17'565 fr. 65). Ramenés à 100%, les frais communs s’élèvent donc à 32'075 fr. 60 (25'660 fr. 50 + 20%). Toujours pour tenir compte de l’implication différente des prévenus, ces frais seront mis à raison de 40% chacun à la charge de R.________ et de S.________, et à raison de 20% à la charge de H.________. Ainsi et en définitive, les frais de première instance seront mis par 25'029 fr. 30 ([32'075 fr. 60 x 40%] + [24'398 fr. 10 / 2]) chacun à la charge de R.________ et de S.________, y compris une moitié chacun de la nouvelle indemnité due à leur défenseur d’office commun, et par 28'372 fr. 15 ([32'075 fr. 60 x 20%] + 21'957 fr. 05) à la charge de H.________, y compris l’entier de l’indemnité due à son défenseur d’office. Les prévenus seront tenus de rembourser à l’Etat la part des indemnités d’office mises à leur charge dès que leur situation financière le permettra. Enfin, dans la mesure où ils sont condamnés pour le tout, les indemnités au sens de l’art. 429 CPP allouées à R.________ et S.________ seront supprimées. 10. Au vu de ce qui précède, les appels de S.________, R.________ et H.________ doivent être rejetés, l’appel du Ministère public admis et le recours de Me Curchod partiellement admis. Me Alexandre Curchod, défenseur d’office de S.________ et R.________, a produit une liste d'opérations faisant état d’une activité de 37,5 heures par l’avocat breveté et de 17,2 heures par l’avocate-stagiaire. Le temps invoqué est quelque peu excessif, que ce soit pour l’avocat breveté, expérimenté, qui a fonctionné en première instance et avait donc une parfaite connaissance du dossier, ou pour l’avocate-stagiaire, dont les frais de formation n’ont pas à être pris en charge. Ainsi, sur les quelques 16,5 heures consacrées à la rédaction de l’appel, à peu près à part égales entre les deux avocats, on enlèvera 3h chez chacun. On réduira encore de 3h l’activité de l’avocate-stagiaire, consacrée à la préparation de l’audience, sur les 6h alléguées, ce qui équivaut à une réduction de 6h sur le total de l’activité alléguée pour elle. S’agissant ensuite de l’avocat breveté, on enlèvera encore 7h consacrée à la préparation de l’audience, sur les 12,6 heures alléguées à ce titre. Enfin, le temps d’audience, surestimé, sera réduit d’une heure, de même que le temps de lecture de jugement, qui n’a pas eu lieu, soit une réduction de 12h non nécessaires sur le total de l’activité annoncée pour l’avocat breveté. C’est ainsi une indemnité de 6'524 fr. 95, correspondant à 25,5 heures d’activité au tarif horaire de 180 fr., à 11,2 heures d’activité au tarif horaire de 110 fr., à 116 fr. 45 de débours au taux forfaitaire de 2% des honoraires admis (art. 3bis al. 1 RAJ, applicable par renvoi de l’art. 26b TFIP), à 120 fr. de vacation et à 466 fr. 50 de TVA au taux de 7,7% sur le tout, qui sera allouée à Me Alexandre Curchod pour la procédure d’appel. Le défenseur d’office de H.________ a produit une liste d’opérations dont il n’y a pas lieu de s’écarter, si ce n’est pour y ajouter le temps consacré à l’audience d’appel. C’est ainsi une indemnité de 5’270 fr. 40 qui sera allouée à Me Raphaël Dessemontet pour la procédure d’appel, correspondant à 26 heures d’activité d’avocat au tarif horaire de 180 fr., à 93 fr. 60 de débours au taux forfaitaire de 2%, à 120 fr. de vacation et à 376 fr. 80 de TVA. G.________SA, qui obtient gain de cause et qui a procédé avec l’assistance d’un avocat de choix, a droit à une indemnité pour les dépenses occasionnées par la procédure d’appel (art. 433 al. 1 let. a CPP, applicable par renvoi de l’art. 436 al. 1 CPP), à la charge de S.________, R.________ et H.________, solidairement entre eux. A l’audience, Me Bettex a pris une conclusion à titre de dépens de seconde instance à hauteur de 1'500 fr. audience non comprise, ce qui équivaut à 5 heures d’activité d’avocat au tarif horaire de 300 fr., ce qui est raisonnable. Temps d’audience en sus, l’indemnité sera ainsi arrêtée à 3'424 fr. 85, correspondant à 10 heures d’avocat au tarif horaire de 300 fr., à 60 fr. de débours au taux forfaitaire de 2%, à 120 fr. de vacation et à 244 fr. 85 de TVA. Vu l’issue de la cause, les frais communs d'appel, par 9'430 fr. (art. 21 al. 1 et 2 TFIP), seront mis par 3/10 èmes à la charge de S.________, de R.________ et de H.________, soit par 2'829 fr. chacun, le solde, par 943 fr., étant laissé à la charge de l’Etat, ce pour tenir compte de la conclusion du Ministère public relative à la créance compensatrice et du recours de Me Curchod. S.________ et R.________ supporteront en sus l’indemnité allouée à leur défenseur d’office, à raison de la moitié, soit 3'262 fr. 50 chacun. Quant à H.________, qui succombe également sur le tout, il supportera en sus l’entier de l’indemnité allouée à son défenseur d’office. Les frais de la procédure d’appel mis à la charge de R.________ et de S.________ s’élèvent ainsi à 6'091 fr. 50 chacun au total, tandis que ceux mis à la charge de H.________ s’élèvent à 8'099 fr. 40 au total. H.________ ne sera tenu de rembourser le montant de l'indemnité en faveur de son défenseur d'office que lorsque sa situation financière le permettra. Il en ira de même de S.________ et R.________, pour la part mise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