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2021 / 49 vom 4. Februar 2021</w:t>
      </w:r>
    </w:p>
    <w:p>
      <w:r>
        <w:t>VD Tribunal cantonal, 2021-02-04, FR</w:t>
      </w:r>
    </w:p>
    <w:p>
      <w:r>
        <w:rPr>
          <w:b/>
        </w:rPr>
        <w:t xml:space="preserve">Quelle: </w:t>
      </w:r>
      <w:r>
        <w:t>https://mcp.opencaselaw.ch/entscheid/vd_findinfo_Jug___2021___49</w:t>
      </w:r>
    </w:p>
    <w:p>
      <w:r>
        <w:t>FR: VD_FINDINFO Jug / 2021 / 49 du 4 février 2021</w:t>
      </w:r>
    </w:p>
    <w:p>
      <w:r>
        <w:t>IT: VD_FINDINFO Jug / 2021 / 49 del 4 febbraio 2021</w:t>
      </w:r>
    </w:p>
    <w:p>
      <w:pPr>
        <w:pStyle w:val="Heading2"/>
      </w:pPr>
      <w:r>
        <w:t>Regeste</w:t>
      </w:r>
    </w:p>
    <w:p>
      <w:r>
        <w:t>OBLIGATION D'ASSURANCE, LIBRE PASSAGE{ASSURANCES} | 2 LFLP, 4 LFLP, 8 LFLP, 10 LPP, 47 al. 1 LPP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Vu ce qui précède, le demandeur était déchu de son droit au maintien de la prévoyance à titre individuel lorsqu’il en a fait la demande le 20 février 2020. Ce constat conduit au rejet des conclusions de la demande. b) La procédure est gratuite (art. 73 al. 1 LPP) et le demandeur ne peut pas prétendre de dépens à la charge de la défenderesse au vu du sort de ses conclusions (art. 55 al. 1 et 109 al. 1 LPA-VD). La défenderesse ne peut pas davantage prétendre à des dépens, en sa qualité d’institution chargée de tâches de droit public (ATF 126 V 143 consid.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