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487 vom 27. August 2021</w:t>
      </w:r>
    </w:p>
    <w:p>
      <w:r>
        <w:t>VD Tribunal cantonal, 2021-08-27, FR</w:t>
      </w:r>
    </w:p>
    <w:p>
      <w:r>
        <w:rPr>
          <w:b/>
        </w:rPr>
        <w:t xml:space="preserve">Quelle: </w:t>
      </w:r>
      <w:r>
        <w:t>https://mcp.opencaselaw.ch/entscheid/vd_findinfo_Jug___2021___487</w:t>
      </w:r>
    </w:p>
    <w:p>
      <w:r>
        <w:t>FR: VD_FINDINFO Jug / 2021 / 487 du 27 août 2021</w:t>
      </w:r>
    </w:p>
    <w:p>
      <w:r>
        <w:t>IT: VD_FINDINFO Jug / 2021 / 487 del 27 agosto 2021</w:t>
      </w:r>
    </w:p>
    <w:p>
      <w:pPr>
        <w:pStyle w:val="Heading2"/>
      </w:pPr>
      <w:r>
        <w:t>Regeste</w:t>
      </w:r>
    </w:p>
    <w:p>
      <w:r>
        <w:t>CHIEN, LÉSION CORPORELLE PAR NÉGLIGENCE, DILIGENCE | 125 CP</w:t>
      </w:r>
    </w:p>
    <w:p>
      <w:pPr>
        <w:pStyle w:val="Heading2"/>
      </w:pPr>
      <w:r>
        <w:t>Erwägungen</w:t>
      </w:r>
    </w:p>
    <w:p>
      <w:r>
        <w:rPr>
          <w:b/>
        </w:rPr>
        <w:t>E. 1.1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de A.J.________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w:t>
      </w:r>
    </w:p>
    <w:p>
      <w:r>
        <w:rPr>
          <w:b/>
        </w:rPr>
        <w:t>E. 3.1</w:t>
      </w:r>
    </w:p>
    <w:p>
      <w:r>
        <w:t>L’appelant fait valoir la violation du droit et la constatation incomplète des faits au sens de l’art. 398 al. 3 let. a et b CPP et fait grief à la première juge d’avoir retenu une imprévoyance coupable au sens de l’art. 125 CP. En substance, il conteste avoir violé une quelconque règle de prudence et insiste sur le caractère exceptionnel du déroulement des faits et sur le caractère imprévisible de la situation.</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w:t>
      </w:r>
    </w:p>
    <w:p>
      <w:r>
        <w:rPr>
          <w:b/>
        </w:rPr>
        <w:t>E. 3.2.2</w:t>
      </w:r>
    </w:p>
    <w:p>
      <w:r>
        <w:t>En vertu de l’art. 16 al. 2 LPolC (Loi sur la police des chiens du 31 octobre 2006 ; BLV 133.75), tout détenteur d’un chien doit être en mesure de le maîtriser à tout moment par un moyen sonore ou par le geste, en particulier en présence de public ou d’animaux. A défaut, le chien doit être tenu en laisse et si nécessaire porter une muselière.</w:t>
      </w:r>
    </w:p>
    <w:p>
      <w:r>
        <w:rPr>
          <w:b/>
        </w:rPr>
        <w:t>E. 3.3</w:t>
      </w:r>
    </w:p>
    <w:p>
      <w:r>
        <w:t>L’appelant reproche à la première juge de ne pas avoir pris en considération le fait qu’il ignorait que la victime se rendrait ce soir-là dans sa propriété pour jouer avec sa fille. Il souligne que cette visite était totalement inopinée et exceptionnelle. Il soutient que s’il l’avait su, il n’aurait pas sorti ses chiens, respectivement qu’il les aurait rentrés. En l’occurrence, il ressort de l’état de fait, non contesté en soi par A.J.________, que A.M.________, âgée de 7 ans, avait l’habitude de jouer avec sa fille du même âge. Elle était sa voisine de quartier. Qu’elle se rende, ainsi, à la fin du mois d’avril, vers 18h30, dans la propriété ouverte de l’appelant pour inviter son amie à jouer avec elle n’avait dès lors rien d’exceptionnel. Cela étant, ce qui est reproché à l’appelant, ce n’est pas tant de ne pas avoir anticipé la venue de A.M.________ dans son jardin, mais d’avoir laissé son chien sans surveillance dans sa propriété ouverte. Il admet d’ailleurs lui-même un défaut de vigilance (PV audition 4, l. 71). Lors des débats de première instance, il a encore indiqué que dès qu’il avait su que l’enfant était dans son jardin, il était sorti immédiatement car il savait qu’elle avait peur des chiens et qu’une mauvaise réaction de sa part pouvait causer un « incident », précisant : « c’est un animal qui peut avoir une réaction » (jgt, p. 5 in fine et 6). D’ailleurs, s’il avait su que la jeune fille viendrait, il n’aurait pas sorti ses chiens (jgt, p. 5). On peut ainsi en déduire que l’appelant sait que son chien peut attaquer, autrement dit, qu’il peut être la source d’un danger s’il n’est pas maîtrisé d’une manière ou d’une autre. Peu importe dès lors que l’animal n’ait pas eu d’antécédents de morsure. Il n’est pas davantage déterminant qu’il ait échappé à la surveillance de son maître durant un court instant, cet élément pouvant tout au plus avoir une incidence sur la gravité de la faute. En effet, le défaut de surveillance n’a pas à être quantifié, étant rappelé que, selon les dispositions légales précitées, on devait attendre du prévenu qu’il puisse maîtriser son chien à tout moment. Or, le fait est que le chien R.________ est resté sans surveillance durant un laps de temps plus ou moins long, mais suffisant pour qu’il attaque et morde la fillette. L’appelant semble soutenir qu’il ne pouvait pas s’attendre à la venue de A.M.________ dans sa propriété. Implicitement, il invoque ainsi une rupture du lien de causalité due au comportement de la victime – une enfant de 7 ans – qui reléguerait à l’arrière-plan une éventuelle faute de sa part. En l’occurrence, il n’est pas contesté que A.M.________ et la fille de l’appelant avaient l’habitude de jouer en ensemble. On sait également qu’il était arrivé à la victime de pénétrer dans la propriété du prévenu et de sonner à la porte (jgt, p. 4 ; PV audition 3, R. 15). Or, le jour des faits, elle n’a rien fait d’autre que de venir voir son amie, comme elle l’avait déjà fait auparavant. Son comportement n’était donc pas imprévisible comme le plaide l’appelant. En définitive, la Cour de céans ne distingue aucune constatation inexacte, incomplète ou erronée des faits, pas davantage qu’une violation du droit de fond. En laissant son chien sans surveillance, A.J.________, qui n’était donc plus en mesure de le maîtriser, n’a pas fait preuve de l’attention et de la diligence commandées par les circonstances et a violé les règles de la prudence dictées par l’ordre juridique. Sa condamnation pour lésions corporelles simples par négligence doit dès lors être confirmée.</w:t>
      </w:r>
    </w:p>
    <w:p>
      <w:r>
        <w:rPr>
          <w:b/>
        </w:rPr>
        <w:t>E. 4.1</w:t>
      </w:r>
    </w:p>
    <w:p>
      <w:r>
        <w:t>L ’appelant, qui conclut à son acquittement, ne conteste pas à titre subsidiaire la quotité de la peine infligée. Elle doit toutefois être vérifiée d’office.</w:t>
      </w:r>
    </w:p>
    <w:p>
      <w:r>
        <w:rPr>
          <w:b/>
        </w:rPr>
        <w:t>E. 4.2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w:t>
      </w:r>
    </w:p>
    <w:p>
      <w:r>
        <w:t>En l’espèce, la Cour de céans constate que la peine a été fixée en application des critères légaux, tels que prévus à l’art. 47 CP, et conformément à la culpabilité de A.J.________, considérée à juste titre comme étant moyenne. Il peut dès lors être renvoyé à cet égard à la motivation du jugement attaqué (p. 18 ; art. 82 al. 4 CPP), qui est claire et convaincante. La peine pécuniaire de 20 jours-amende est adéquate, de même que la valeur du jour-amende fixée à 30 fr., qui tient compte de la situation personnelle et économique du prénommé. Par ailleurs, les conditions objectives et subjectives d’octroi du sursis sont remplies. Enfin, l’amende de 120 fr. prononcée à titre de sanction immédiate est également adéquate.</w:t>
      </w:r>
    </w:p>
    <w:p>
      <w:r>
        <w:rPr>
          <w:b/>
        </w:rPr>
        <w:t>E. 5</w:t>
      </w:r>
    </w:p>
    <w:p>
      <w:r>
        <w:t>La première juge a alloué à B.M.________, représentant sa fille, un montant de 2'000 fr., avec intérêts à 5 % l’an dès le lendemain du jugement définitif et exécutoire, à titre de réparation du tort moral. Cette formulation est erronée dès lors qu’en cas de lésions corporelles, c’est la victime, et non son représentant légal, qui peut se voir allouer une réparation morale (art. 47 CO). Il en va de même pour ce qui est des prétentions en dommages-intérêts. Par conséquent, s’agissant d’une erreur manifeste, les chiffres III et IV du dispositif seront modifiés d’office (art. 83 al. 1 CPP).</w:t>
      </w:r>
    </w:p>
    <w:p>
      <w:r>
        <w:rPr>
          <w:b/>
        </w:rPr>
        <w:t>E. 6</w:t>
      </w:r>
    </w:p>
    <w:p>
      <w:r>
        <w:t>Au vu de ce qui précède, l’appel doit être rejeté et le jugement attaqué confirmé, sous réserve de la rectification d’office opérée dans le sens du considérant qui précède. Vu l’issue de la cause, les frais de la procédure d'appel, constitués en l’espèce de l’émolument de jugement, par 1’210 fr. (art. 21 al. 1 TFIP [tarif des frais de procédure et indemnités en matière pénale du 28 septembre 2010 ; BLV 312.03.1]), seront mis à la charge de A.J.________,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