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484 vom 7. Dezember 2020</w:t>
      </w:r>
    </w:p>
    <w:p>
      <w:r>
        <w:t>VD Tribunal cantonal, 2020-12-07, FR</w:t>
      </w:r>
    </w:p>
    <w:p>
      <w:r>
        <w:rPr>
          <w:b/>
        </w:rPr>
        <w:t xml:space="preserve">Quelle: </w:t>
      </w:r>
      <w:r>
        <w:t>https://mcp.opencaselaw.ch/entscheid/vd_findinfo_Jug___2021___484</w:t>
      </w:r>
    </w:p>
    <w:p>
      <w:r>
        <w:t>FR: VD_FINDINFO Jug / 2021 / 484 du 7 décembre 2020</w:t>
      </w:r>
    </w:p>
    <w:p>
      <w:r>
        <w:t>IT: VD_FINDINFO Jug / 2021 / 484 del 7 dicembre 2020</w:t>
      </w:r>
    </w:p>
    <w:p>
      <w:pPr>
        <w:pStyle w:val="Heading2"/>
      </w:pPr>
      <w:r>
        <w:t>Regeste</w:t>
      </w:r>
    </w:p>
    <w:p>
      <w:r>
        <w:t>CONSTATATION DES FAITS, ADMINISTRATION DES PREUVES, INJURE, VIOLENCE CONTRE LES AUTORITÉS, DÉNONCIATION CALOMNIEUSE, PEINE COMPLÉMENTAIRE, RÉVOCATION DU SURSIS, CONCOURS D'INFRACTIONS, SURSIS PARTIEL À L'EXÉCUTION DE LA PEINE | 177 al. 1 CP, 285 ch. 1 CP, 286 CP, 303 ch. 1 al. 1 CP, 43 al. 1 CP, 46 al. 1 CP, 49 al. 1 CP, 10 CPP (CH), 389 CPP (CH)</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w:t>
      </w:r>
    </w:p>
    <w:p>
      <w:r>
        <w:rPr>
          <w:b/>
        </w:rPr>
        <w:t>E. 3.1</w:t>
      </w:r>
    </w:p>
    <w:p>
      <w:r>
        <w:t>L’appelant requiert le versement au dossier de l’affaire PE18.002872 (dans laquelle il a déposé plainte le 2 février 2018 contre l’App J.________ et le Plt K.________ pour les faits du 18 novembre 2017 et qui a fait l’objet d’une ordonnance de classement ; cf. P. 40), respectivement la production du pull « taché de sang » qu’il portait la nuit du 18 novembre 2017 figurant dans le dossier à titre de pièce à conviction. Au cours de l’audience d’appel, il a sollicité la mise en œuvre d’une expertise psychiatrique et la production de son dossier médical du CHUV où il bénéficierait d’un suivi psychiatrique.</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références).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(ATF 141 I 60 consid. 3.3 et les références, JdT 2015 I 115).</w:t>
      </w:r>
    </w:p>
    <w:p>
      <w:r>
        <w:rPr>
          <w:b/>
        </w:rPr>
        <w:t>E. 3.3</w:t>
      </w:r>
    </w:p>
    <w:p>
      <w:r>
        <w:t>En l’espèce, l’appelant a fait l’objet d’un examen par l’Unité de médecine des violences le 21 novembre 2017. Le constat médical, établi le même jour, expose de manière détaillée les lésions dont le prévenu prétend qu’elles sont en rapport avec sa version des faits du 18 novembre 2017 (P. 64/4). Vu cette pièce au dossier, on ne saisit pas en quoi la production du pull « taché de sang » que l’appelant portait la nuit du 18 novembre 2017 serait utile à l’appréciation de la présente cause, ce que celui-ci ne s’emploie par ailleurs même pas à démontrer. Quant à la production l’ensemble du dossier PE18.002872, l’appelant n’indique pas quels éléments contenus dans celui-ci seraient utiles à l’appréciation de la présente cause. Dès lors que cette mesure d’instruction n’est pas nécessaire au traitement de l’appel, la requête d’E.________ doit être rejetée. Concernant l’expertise psychiatrique, l’appelant se prévaut d’une consultation du 6 décembre 2017 auprès du Service de psychiatrie générale du CHUV et d’un rapport faisant état de symptômes anxieux et dépressifs et de troubles du sommeil évoluant depuis trois semaines (mémoire, p. 6). Du moment qu’il ne fait valoir qu’une seule consultation d’ordre psychiatrique et qu’il ne produit aucune attestation ou rapport concernant un quelconque suivi médical depuis le 6 décembre 2017, cela ne suffit pas à laisser penser qu’il était perturbé dans ses fonctions mentales aux moments des faits reprochés. Au cours de l’audience d’appel du 7 octobre 2021, le prévenu a allégué qu’il avait perdu plusieurs membres de sa famille et qu’il consultait un psychologue car il ne se sentait pas bien depuis cinq ou six mois. A supposer qu’il produise une attestation médicale en ce sens, il faudrait de toute manière constater qu’il s’agit de troubles de santé nés postérieurement aux faits reprochés et qui ne peuvent donc pas être pris en considération. Pour le surplus, l’appelant ne fait valoir aucune circonstance exceptionnelle propre à susciter un doute au sujet de sa responsabilité pénale. Il dit lui-même qu’il n’a jamais eu de problème dans la vie (PV aud. 4, ligne 73), qu’il n’a pas besoin d’être soigné et qu’il n’est pas fou (jugement, p. 4). Il a par ailleurs admis qu’il ne consommait que de la marijuana (PV aud. 1, lignes 35-39), dont seule une petite quantité a été trouvée sur lui lors de son interpellation du 18 novembre 2017, ce qui ne suffit pas non plus à faire douter de sa santé psychique. Ses seuls problèmes sont ceux, comme on le verra ci-après, qu’il ne supporte pas lorsque la police lui demande de présenter sa pièce d’identité et qu’il tient des propos contraires à la vérité afin de tenter de faire croire qu’il serait victime de délits de faciès et de violences policières. La requête d’E.________ tendant à la mise en œuvre d’une expertise psychiatrique doit par conséquent être rejetée.</w:t>
      </w:r>
    </w:p>
    <w:p>
      <w:r>
        <w:rPr>
          <w:b/>
        </w:rPr>
        <w:t>E. 4.1</w:t>
      </w:r>
    </w:p>
    <w:p>
      <w:r>
        <w:t>Concernant le cas 1, l’appelant soutient tout d’abord que, contrairement à ce qu’elle affirme, l’App J.________ ne l’aurait pas contrôlé parce qu’il était statique dans la rue, mais parce qu’elle l’avait déjà contrôlé le 7 septembre 2016 au cours d’une intervention qui s’était mal passée (P. 63/1) et qu’elle l’aurait reconnu avant le contrôle. L’appelant conteste ensuite avoir été menaçant ou avoir eu des gestes de comportement menaçants envers les policiers et il en veut pour preuve les déclarations contradictoires de ces derniers. En effet, concernant l’épisode selon lequel il se serait avancé, le bras levé, de manière déterminée en direction de l’App J.________, il soutient que cette dernière a fait état d’un « grand geste », que le Plt K.________ a fait état d’un « bras en avant » et que le rapport de police du 18 novembre 217 a fait état d’un « bras levé ». Concernant l’utilisation du bâton tactique, l’appelant fait valoir plusieurs arguments : le jugement entrepris ne retient pas que l’App J.________ a admis qu’elle avait utilisé le bâton tactique de l’Agt L.________ ; on peut se demander pour quelle raison elle n’a pas fait usage de son propre bâton tactique ; elle n’a curieusement pas vu le Plt K.________ lui faire un balayage ni vu l’Agt L.________ faire usage de son bâton tactique sur ses chevilles, alors qu’elle était pourtant elle-même au sol à ce moment-là en train d’entraver son bras gauche ; et elle a déclaré de manière incohérente qu’elle avait d’abord vainement tenté de lui saisir les jambes, avant de les lâcher pour maintenir son bras gauche pour lui faire une clé. En définitive, l’appelant considère que les deux policiers auraient échoué à masquer les divergences de leurs versions respectives, malgré leur volonté manifeste de se couvrir mutuellement. L’appelant allègue enfin qu’il aurait été victime d’un délit de faciès parce qu’il est une personne noire, qu’il a été appréhendé alors qu’il ne faisait rien de mal et qu’il aurait dû se voir reconnaître le statut de victime en raison des moyens de contrainte disproportionnés utilisés à son encontre. Il cite par ailleurs un article paru dans « Le Courrier » selon lequel la probabilité que les personnes s’estimant victimes de violences policières obtiennent gain de cause serait « proche de zéro », de même qu’un article paru sur le site internet « rts.ch » selon lequel un ancien policier lausannois aurait témoigné du délit de faciès auquel seraient soumis les personnes d’origine africaine.</w:t>
      </w:r>
    </w:p>
    <w:p>
      <w:r>
        <w:rPr>
          <w:b/>
        </w:rPr>
        <w:t>E. 4.2.1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4.2.2</w:t>
      </w:r>
    </w:p>
    <w:p>
      <w:r>
        <w:t>Se rend coupable d’injure et sera puni d’une peine pécuniaire de 90 jours-amende au plus, celui qui, sur plainte,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132 IV 112 consid. 2.1). L’injure peut consister dans la formulation d’un jugement de valeur offensant, mettant en doute l’honnêteté, la loyauté ou la moralité d’une personne de manière à la rendre méprisable en tant qu’être humain ou entité juridique (Corboz, Les infractions en droit suisse, vol. I, 3 e éd., Berne 2010, nn. 10 ss ad art. 177 CP), ou celui d'une injure formelle, lorsque l'auteur a, en une forme répréhensible, témoigné de son mépris à l'égard de la personne visée et l'a attaquée dans le sentiment qu'elle a de sa propre dignité (Corboz, op. cit., n. 14 ad art. 177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Un texte doit être analysé non seulement en fonction des expressions utilisées, prises séparément, mais aussi selon le sens général qui se dégage du texte dans son ensemble (ATF 137 IV 313 consid. 2.1.3 ; Corboz, op. cit., nn. 13 et 42 ad art. 173 CP). Sur le plan subjectif, l'injure suppose l'intention. L'auteur doit vouloir ou accepter que son message soit attentatoire à l'honneur et qu'il soit communiqué à la victime (ATF 117 IV 270 consid. 2b).</w:t>
      </w:r>
    </w:p>
    <w:p>
      <w:r>
        <w:rPr>
          <w:b/>
        </w:rPr>
        <w:t>E. 4.2.3</w:t>
      </w:r>
    </w:p>
    <w:p>
      <w:r>
        <w:t>Se rend coupable de violence ou menace contre les autorités et les fonctionnaires et sera puni d’une peine privative de liberté de trois ans au plus ou d’une peine pécuniaire,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(art. 285 ch. 1 al. 1 CP).</w:t>
      </w:r>
    </w:p>
    <w:p>
      <w:r>
        <w:rPr>
          <w:b/>
        </w:rPr>
        <w:t>E. 4.2.4</w:t>
      </w:r>
    </w:p>
    <w:p>
      <w:r>
        <w:t>Se rend coupable d’empêchement d’accomplir un acte officiel et sera puni d’une peine pécuniaire de 30 jours-amende au plus, celui qui aura empêché une autorité, un membre d’une autorité ou un fonctionnaire d’accomplir un acte entrant dans ses fonctions (art. 286 CP).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Il n'est pas nécessaire que l'auteur parvienne à éviter effectivement l'accomplissement de l'acte officiel, mais il suffit qu'il le rende plus difficile, l'entrave ou le diffère (ATF 133 IV 97 consid. 4.2 ; ATF 127 IV 115 consid. 2). L'infraction se distingue tant de celle de violence ou menace contre les autorités et les fonctionnaires réprimée par l'art. 285 CP, que de celle d’insoumission à une décision de l’autorité au sens de l'art. 292 CP, car une simple désobéissance ne suffit pas (pour le tout cf. TF 6B_89/2019 du 17 mai 2019 consid. 1.1.1). Le comportement incriminé à l'art. 286 CP suppose une résistance qui implique une certaine activité (ATF 133 IV 97 consid. 4.2 ; ATF 127 IV 115 consid. 2 ; TF 6B_89/2019 précité consid. 1.1.1). Celle-ci est par exemple réalisée par le fait de prendre la fuite (ATF 120 IV 136 consid. 2a et les références). Il vise avant tout une obstruction physique (ATF 124 IV 217 consid. 3a ; Corboz, op. cit., n. 13 ad art. 286 CP).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Imposer sa présence dans une salle pour empêcher une autorité d’y tenir séance constitue, par une action, une opposition aux actes de l’autorité (ATF 107 IV 113 consid. 4 ; TF 6B_333/2011 du 27 octobre 2011 consid. 2.2.1 ; TF 6B_89/2019 précité consid. 1.1.1).</w:t>
      </w:r>
    </w:p>
    <w:p>
      <w:r>
        <w:rPr>
          <w:b/>
        </w:rPr>
        <w:t>E. 4.2.5</w:t>
      </w:r>
    </w:p>
    <w:p>
      <w:r>
        <w:t>Se rend coupable de dénonciation calomnieuse et sera puni d’une peine privative de liberté ou d’une peine pécuniaire, celui qui aura dénoncé à l’autorité, comme auteur d’un crime ou d’un délit, une personne qu’il savait innocente, en vue de faire ouvrir contre elle une poursuite pénale (art. 303 ch. 1 al. 1 CP). Sur le plan objectif, cette norme suppose qu’une communication imputant faussement à une personne la commission d’un crime ou d’un délit ait été adressée à l’autorité (ATF 132 IV 20 consid. 4.2 ; ATF 75 IV 78).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Basler Kommentar, Strafrecht II, 4 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jugement d’acquittement ou par le prononcé d’un non-lieu (ATF 136 IV 170 consid. 2.1).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66bis aCP (actuel art. 54 CP), cela n’empêche pas le juge appelé à statuer sur l’infraction de dénonciation calomnieuse de statuer à nouveau sur la culpabilité de la personne dénoncée (ATF 136 IV 170 consid. 2.1 et les références).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 ; CREP 14 octobre 2019/830 consid. 4.2.1.1 et les références). Sur le plan subjectif, l’auteur doit savoir que la personne visée par la dénonciation est innocente, comme c'est le cas pour la calomnie. Par conséquent, il ne suffit pas que l’auteur ait conscience que ses allégations pourraient être fausses. Ainsi, l’infraction exige l’intention et la connaissance de la fausseté de l’accusation ; le dol éventuel est exclu (ATF 136 IV 170 consid. 2.1 ; TF 6B_32/2011 du 24 février 2011 consid. 1.1 ; CREP 14 octobre 2019/830 consid. 4.2.1.1 ; Dupuis et alii, Petit Commentaire du Code pénal, 2 e éd., Bâle 2017, nn. 22-23 ad art. 303 CP).</w:t>
      </w:r>
    </w:p>
    <w:p>
      <w:r>
        <w:rPr>
          <w:b/>
        </w:rPr>
        <w:t>E. 4.3.1</w:t>
      </w:r>
    </w:p>
    <w:p>
      <w:r>
        <w:t>En l’espèce, il est exact que l’appelant a été contrôlé par l’App J.________ le 7 septembre 2016, alors qu’elle patrouillait avec l’Agt M.________. Dans cette procédure, l’App J.________, entendue en qualité de témoin, a déclaré qu’elle avait d’abord demandé à l’appelant depuis la voiture si tout allait bien vu qu’il avait l’air perdu ou stressé, que celui-ci s’était senti agressé et l’avait mal pris en répondant d’un ton très sec et agacé, que les policiers étaient alors sortis de la voiture et qu’elle avait procédé à un contrôle d’identité vu que le ton était monté. Vu ces éléments et le fait que l’appelant n’a déposé plainte que contre l’Agt M.________, on peut déjà douter que l’App J.________ a procédé au contrôle d’identité du 18 novembre 2017 par vengeance en raison de cette procédure. De plus, il n’existe aucune raison de remettre en cause les déclarations de l’appointée selon lesquelles c’est lorsqu’elle a lu la pièce d’identité de l’appelant que celui-ci lui a dit qu’il la reconnaissait et que c’est à ce moment-là qu’elle l’a elle aussi reconnu (PV aud. 2, lignes 39-41). On notera par ailleurs que l’appelant, bien que présentant une version des faits contradictoire à celle de l’Agt M.________ et ayant exprimé le souhait d’être confronté à celui-ci (P. 14), n’a pas jugé utile d’assister à l’audition de cet agent ni à celles de l’App J.________ ou de [...] (P. 63/1). Cela étant, on ne peut que constater que le contrôle d’identité du 18 novembre 2017 a été effectué en raison du comportement adopté par l’appelant. En effet, l’App J.________ a expliqué, de manière cohérente, que son collègue et elle s’étaient arrêtés une première fois à la hauteur de l’appelant en raison de sa présence statique dans la rue au milieu de la nuit, qu’ils étaient à peine arrivés à sa hauteur que l’intéressé s’était déjà énervé, qu’ils avaient néanmoins continué leur route en tournant dans un giratoire pour poursuivre leurs recherches (des feux de containers ayant été signalés dans le secteur), qu’ils avaient alors à nouveau croisé l’appelant, toujours statique et toujours énervé au même endroit, que le Plt K.________ l’avait salué et lui avait demandé ce qu’il se passait, que l’appelant l’avait très mal pris en lui répondant qu’il avait le droit d’être là et qu’ils étaient « racistes », et que c’est à ce moment-là que le contrôle d’identité avait été effectué, non sans première opposition de l’intéressé (PV aud. 2, lignes 26 ss). L’arrestation du prévenu a ensuite été musclée dès lors que celui-ci n’obtempérait pas. A cela s’ajoute que l’appelant a lui-même admis qu’il n’aimait pas la police « depuis l’histoire de l’avenue de Cour » et a déclaré « J’aimerais que vous écriviez que je n’aime pas la police et que je deviens méchant avec les policiers » (PV aud. 1, lignes 52-53 et 81-82). En outre, il a également eu une attitude agitée au cours de son interpellation du 27 avril 2019 (cas 5), se montrant totalement réfractaire à la procédure, instable et irascible, tenant des propos menaçants à l’égard de la police en général (P. 47, p. 3) et prétendant que le fait de le soumettre à un test salivaire de dépistage de drogues alors qu’il avait de la poudre blanche sur son pantalon était un acte raciste, avant de déclarer « Fuck Suisse » (P. 47, R. 6 et R. 8). Ces considérations tendant bien plutôt à constater que l’appelant a de toute évidence un problème général avec les forces de l’ordre, que c’est lui qui adopte un comportement énervé voire agressif lorsque des policiers lui adressent la parole et que ce n’est donc ni par soif de vengeance ni parce qu’il est noir que l’App J.________ a procédé à un contrôle de routine le 18 novembre 2017.</w:t>
      </w:r>
    </w:p>
    <w:p>
      <w:r>
        <w:rPr>
          <w:b/>
        </w:rPr>
        <w:t>E. 4.3.2</w:t>
      </w:r>
    </w:p>
    <w:p>
      <w:r>
        <w:t>Concernant le geste en direction de l’App J.________, l’appelant ergote lorsqu’il fait une distinction entre les mots exacts utilisés par les policiers au cours de leur audition respective et dans leur rapport d’investigation, pour justifier qu’il n’aurait pas eu une attitude menaçante. Que le geste soit décrit comme un « grand geste », un « bras en avant » ou un « bras levé », il n’en demeure pas moins que celui-ci a bel et bien eu lieu et qu’il a été dirigé contre l’App J.________. En outre, c’est en raison de ce mouvement que le Plt K.________ a dû repousser l’appelant et que ce dernier a ensuite dû être maîtrisé. L’état de fait selon lequel l’appelant « s’est avancé vers l’App J.________ de manière déterminée, le bras levé » doit par conséquent être confirmé. Concernant le bâton tactique, l’App J.________ a expliqué ce qui suit (PV aud. 2, lignes 42-63) : « Le Plt K.________ le repousse, mais je ne peux pas vous donner de précisions sur la manière. Le Plt K.________ se retrouve devant moi et M. E.________ lâche à cet instant la bouteille en verre qu’il avait dans les mains. Je la prends et la pose plus loin par mesure de sécurité et, là, je vois le Plt K.________ et M. E.________ au sol. M. E.________ est couché sur le dos et le Plt K.________ couché sur lui lorsque j’interviens. Il gesticule avec les jambes et est toujours énervé et virulent. J’essaie de lui saisir les jambes, sans succès. Je vois qu’il essaie, avec son bras gauche, de saisir le cou du Plt K.________. Je lâche donc les jambes pour saisir le bras gauche de M. E.________ pour lui faire une clé. Je n’ai pas réussi à le faire et je lui ai donc donné plusieurs coups au niveau des côtes, du côté gauche. Pour vous répondre, je ne me souviens pas si j’ai donné ces coups la main ouverte ou la main fermée. Je précise que j’étais à mains nues. Cela n’a eu aucun effet sur M. E.________. Pendant ce temps, nous continuions à lui ordonner de donner son bras et de se calmer. Avant de prêter main forte au Plt K.________, comme je voyais que la situation dégénérait, j’ai appelé des renforts sur les ondes. Alors que je me trouvais toujours au sol en train de tenter une clé de bras sur M. E.________, j’ai saisi le bâton tactique de l’Agt L.________ qui était arrivé. Le bâton était fermé et j’ai essayé de faire une clé à l’aide de ce bâton. Je compresse son avant-bras à l’aide du bâton tactique, mais je n’y arrive pas. J’ai constaté que j’étais légèrement blessée au pouce, ce qui m’a perturbée. En plus, j’étais bien essoufflée. J’ai donc attendu que mes collègues interviennent tout en maintenant le bras sous contrôle. Avec l’aide de mes collègues, nous arrivons à le retourner et à le menotter au niveau des bras et des jambes. Nous avons dû le ligaturer au niveau des jambes car il continuait à gesticuler ». Les déclarations de l’appointée sont précises et cohérentes. Si elle n’a pas vu le Plt K.________ faire un balayage à l’appelant, c’est parce qu’elle était occupée à mettre la bouteille de verre en sécurité ; si elle n’a pas utilisé son bâton tactique, c’est parce qu’elle était occupée à maintenir le bras gauche de l’appelant et que l’Agt L.________, qui était arrivé entretemps, lui a prêté main forte en lui tendant le sien ; et si elle n’a pas vu l’Agt L.________ faire usage de son bâton tactique sur les jambes de l’appelant, c’est parce qu’elle était toujours occupée à maintenir le bras gauche de l’appelant, ce qui s’est avéré un exercice difficile au vu de la forte résistante de l’intéressé. En outre, on ne saisit pas où se trouve la prétendue incohérence dans le fait que l’App J.________ ait d’abord essayé de maîtriser les jambes de l’appelant, mais qu’elle ait dû y renoncer car elle n’y arrivait pas, puis qu’elle ait décidé de maintenir le bras de l’intéressé. Enfin, le fait que le jugement entrepris ne retienne pas que l’App J.________ a utilisé le bâton tactique de l’Agt L.________ ne change rien à l’appréciation de ce cas, puisque l’appelant ne conteste pas les faits qui sont constitutifs des infractions retenues (injure et menace contre les autorités et les fonctionnaires ; cf. consid. 4.3.4 ci-dessous). En définitive, il n’existe aucune divergence particulière et déterminante entre les versions des faits des deux policiers qui pourrait laisser penser que l’appréhension de l’appelant ne s’est pas déroulée comme ils l’ont décrite, et encore moins que ceux-ci se seraient entendus pour fournir une version commune qui serait contraire à la vérité.</w:t>
      </w:r>
    </w:p>
    <w:p>
      <w:r>
        <w:rPr>
          <w:b/>
        </w:rPr>
        <w:t>E. 4.3.3</w:t>
      </w:r>
    </w:p>
    <w:p>
      <w:r>
        <w:t>En ce qui concerne le délit de faciès et les violences policières dont l’appelant considère avoir été la victime, ceux-ci ne sauraient en aucun cas être admis. Tout d’abord, comme on l’a vu ci-dessus, si les policiers ont demandé à l’appelant sa pièce d’identité, ce n’est pas parce qu’il est noir, mais parce que c’est lui qui a adopté un comportement énervé et qui a traité les policiers de « racistes ». Il va même jusqu’à prétendre avoir cru voir l’App J.________ au cours de son contrôle à la douane de St-Gingolph le 27 juin 2016 (P. 9 ; jugement, p. 4), alors que leur premier contact n’a eu lieu que le 7 septembre 2016 (P. 63/1). Ensuite, dans son ordonnance de classement du 26 février 2019 (P. 40), le Ministère public a procédé à une comparaison entre les déclarations de l’appelant et les images de vidéosurveillance depuis son arrivée en fourgon à l’Hôtel de police. Ces images démontrent sans équivoque que l’appelant a porté des accusations infondées contre les policiers et que cela portait à une atteinte irrémédiable à sa crédibilité et disqualifiait l’ensemble de ses déclarations, y compris les événements qui se seraient passés hors caméra et après le passage à l’Hôtel de police. Notamment, l’appelant est arrivé l’Hôtel de police parfaitement conscient et en mesure de marcher (P. 40, p. 5), contrairement à ce qu’il a affirmé aux experts de l’Unité de médecine des violences (P. 64/4, p. 2). Quant aux lésions corporelles constatées par l’Unité de médecine des violences le 21 novembre 2017 – à savoir quelques lésions diffuses et superficielles de la muqueuse buccale des deux côtés, une dermabrasion à l’omoplate gauche, une dermabrasion du coude gauche, une lésion superficielle de la face antérieure de l’avant-bras droit, trois lésions superficielles à la face dorsale de la main droite, un hématome avec dermabrasion à la cuisse gauche et une tuméfaction à la cheville gauche (P. 64/4, p. 5) –, il y a lieu de constater qu’elles sont compatibles avec les gestes effectués par les policiers consistant à maîtriser une personne qui se débat avec virulence.</w:t>
      </w:r>
    </w:p>
    <w:p>
      <w:r>
        <w:rPr>
          <w:b/>
        </w:rPr>
        <w:t>E. 4.3.4</w:t>
      </w:r>
    </w:p>
    <w:p>
      <w:r>
        <w:t>S’agissant des infractions reprochées, concernant le cas 1, l’appelant a admis les injures (PV aud. 1, ligne 78), soit avoir traité Plt K.________ de « mother fucker » et lui avoir dit « fuck you » et avoir traité les deux agents de « racistes ». Il a reconnu avoir dit à l’App J.________ « la prochaine fois, tu vas voir » (PV aud. 1, lignes 79-80). Il ne conteste pas avoir tenté de donner de nombreux coups de pied aux deux agents et tenté de frapper le Plt K.________ à l’aide de sa main gauche. Les infractions d’injure et de violence ou menace contre les autorités et les fonctionnaires doivent par conséquent être confirmées. Il faut y ajouter l’infraction d’empêchement d’accomplir un acte officiel, qui n’a pas été retenue par le Tribunal correctionnel. Dès lors que 0,7 g de marijuana ont été trouvés en possession de l’appelant lors de son interpellation, la contravention à la LStup doit également être confirmée. L’appelant conclut à sa libération concernant le cas 2, mais il n’a pas motivé ce grief ni dans son mémoire du 8 mars 2021 ni au cours de l’audience d’appel du 7 octobre 2021. Les motifs indiqués par le Tribunal correctionnel sont adéquats, de sorte qu’on peut y renvoyer (art. 82 al. 4 CPP ; jugement, p. 15). L’infraction d’empêchement d’accomplir un acte officiel doit par conséquent être confirmée. L’appelant conclut à sa libération concernant le cas 3, mais il n’a pas non plus motivé ce grief ni dans son mémoire ni au cours de l’audience d’appel. Les motifs indiqués par le Tribunal correctionnel sont adéquats, de sorte qu’on peut y renvoyer (art. 82 al. 4 CPP ; jugement, p. 15). L’infraction d’empêchement d’accomplir un acte officiel et la contravention à la LStup doivent par conséquent être confirmées. L’appelant conclut à sa libération concernant le cas 4, mais il n’a pas non plus motivé ce grief ni dans son mémoire ni au cours de l’audience d’appel. Les motifs indiqués par le Tribunal correctionnel sont adéquats, de sorte qu’on peut y renvoyer (art. 82 al. 4 CPP ; jugement, p. 16). L’infraction de dénonciation calomnieuse doit par conséquent être confirmée. L’appelant conclut à sa libération concernant le cas 5, mais il n’a pas non plus motivé ce grief ni dans son mémoire ni au cours de l’audience d’appel. Les motifs indiqués par le Tribunal correctionnel sont adéquats, de sorte qu’on peut y renvoyer (art. 82 al. 4 CPP ; jugement, p. 16). L’infraction de conduite en état d’ébriété qualifiées doit par conséquent être confirmée.</w:t>
      </w:r>
    </w:p>
    <w:p>
      <w:r>
        <w:rPr>
          <w:b/>
        </w:rPr>
        <w:t>E. 5.1</w:t>
      </w:r>
    </w:p>
    <w:p>
      <w:r>
        <w:t>Reste à déterminer la peine. L’appelant conclut à titre subsidiaire à un sursis complet subordonné au suivi d’un traitement psychiatrique.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5.2.3</w:t>
      </w:r>
    </w:p>
    <w:p>
      <w:r>
        <w:t>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procède de la manière suivante : il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(TF 6B_932/2018 du 24 janvier 2019 consid. 2.4, ATF 145 IV 146).</w:t>
      </w:r>
    </w:p>
    <w:p>
      <w:r>
        <w:rPr>
          <w:b/>
        </w:rPr>
        <w:t>E. 5.2.4</w:t>
      </w:r>
    </w:p>
    <w:p>
      <w:r>
        <w:t>Aux termes de l’art. 42 al. 1 CP, le juge suspend en règle générale l’exécution d’une peine pécuniaire ou d’une peine privative de liberté de deux ans au plus lorsqu’une peine ferme ne paraît pas nécessaire pour détourner l’auteur d’autres crimes ou délits.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L’octroi du sursis partiel suppose que l’ensemble des conditions matérielles du sursis, prévues par l’art. 42 CP, soient réalisées.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que ce soit par un sursis complet ou partiel, la peine doit être entièrement exécutée.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Il faut aussi examiner si le sursis combiné avec une peine pécuniaire ou une amende suffit du point de vue de la prévention spéciale (ATF 134 IV 1 consid. 5.3.1).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5.3</w:t>
      </w:r>
    </w:p>
    <w:p>
      <w:r>
        <w:t>En l’espèce, la culpabilité de l’appelant est lourde. Il est réfractaire à toute autorité, querelleur et vindicatif. Il n’y a aucune collaboration et aucune remise en question. Son seul laïus est de se poser en victime des agents de police et de se retrancher derrière ses propres convictions et affirmations fallacieuses. Pour le cas 1, il n’a pas hésité à faire croire par l’entremise des médias qu’il aurait « été passé à tabac », alors que les policiers se sont bornés à faire usage de la contrainte de manière proportionnée pour le maîtriser (P. 64/6). Son comportement est inadmissible, particulièrement à l’endroit des forces de l’ordre. On ne voit pas ce qui pourrait l’amender. Pour des motifs de prévention spéciale, une peine privative de liberté s’impose pour les infractions de violence ou menace contre les autorités et les fonctionnaires et de dénonciation calomnieuse. Pour la première infraction, qui est la plus grave et pour laquelle il y a récidive, il faut arrêter la peine pour l’infraction de base à 10 mois de peine privative de liberté, à laquelle il faut ajouter 4 mois de peine privative de liberté pour sanctionner la seconde infraction. La récidive dans le domaine de violence ou menace contre les autorités et les fonctionnaires est de nature à assombrir fortement le pronostic. Ce n’est que conjointement à l’exécution d’une partie de la peine que ce pronostic devient mitigé. Avec le Tribunal correctionnel, on peut espérer que l’exécution d’une partie de la peine privative de liberté sera suffisamment dissuasive pour motiver l’appelant dans sa prise de conscience et poser un pronostic favorable pour le surplus. Le sursis complet est exclu et le sursis partiel portant sur 8 mois doit par conséquent être confirmé. Assortir le sursis partiel au suivi d’un traitement psychiatrique est également opportun, dans l’espoir d’un changement d’attitude de l’intéressé. Les infractions d’injure (art. 177 al. 1 CP), d’empêchement d’accomplir un acte officiel (art. 286 CP) et à la LCR (art. 91 al. 2 let. a LCR) sont passibles au plus respectivement de 90 jours-amende, 30 jours-amende et 180 jours-amende. L’infraction la plus grave, perpétrée trois fois, est l’empêchement d’accomplir un acte officiel qui sera sanctionnée par 30 jours-amende à 30 francs. Par l’effet du concours selon l’art. 49 CP, il faut ajouter 10 jours-amende à 30 fr. pour les diverses injures et 20 jours-amende à 30 fr. pour l’infraction à la LCR. La révocation des sursis accordés le 19 septembre 2016 (10 jours-amende à 30 fr.) et le 27 novembre 2017 (30 jours-amende à 30 fr.) se justifie dès lors qu’il y a tout lieu de penser que l’appelant commettra de nouvelles infractions. Par conséquent, c’est une peine pécuniaire d’ensemble de 100 jours-amende à 30 fr., comprenant la révocation des sursis, qui doit être prononcée. L’amende de 300 fr. pour contravention à la LStup, convertible en une peine privative de liberté de substitution de 10 jours en cas de non-paiement fautif, est en outre confirmée.</w:t>
      </w:r>
    </w:p>
    <w:p>
      <w:r>
        <w:rPr>
          <w:b/>
        </w:rPr>
        <w:t>E. 6</w:t>
      </w:r>
    </w:p>
    <w:p>
      <w:r>
        <w:t>En définitive, l’appel d’E.________ doit être rejeté et le jugement entrepris confirmé. Me Maëlle le Boudec a produit une liste d'opérations indiquant 45 h d’activité effectuée par l’avocat-stagiaire Me Wilson Thélémaque (audience d’appel comprise) et 2 h 25 d’activité effectuée par elle-même. Les 45 h annoncées par Me Thélémaque sont excessives. En effet, le mémoire d’appel se limite à contester le cas 1 et, au cours de l’audience d’appel, Me Thélémaque s’est borné à requérir la mise en œuvre d’une expertise psychiatrique et à conclure au sursis complet, subordonné au suivi d’un traitement psychiatrique. Il sera retenu 4 h pour la prise de connaissance du dossier, 2 h 30 pour la rédaction du mémoire d’appel, 2 h pour les diverses correspondances et téléphones et 1 h 30 pour l’audience d’appel et sa préparation, soit au total 10 heures. Au tarif horaire de 110 fr. (art. 2 al. 1 let. b et 3 al. 1 RAJ [règlement sur l'assistance judiciaire en matière civile du 7 décembre 2010 ; BLV 211.02.3] par renvoi de l'art. 26b TFIP [tarif des frais de procédure et indemnités en matière pénale du 28 septembre 2010 ; BLV 312.03.1]), le défraiement s’élève à 1'100 francs. Il faut ajouter 2 % pour les débours forfaitaires (art. 3bis al. 1 RAJ par renvoi de l’art. 26b TFIP), soit 22 fr., 80 fr. pour la vacation de l'audience d'appel (art. 3bis al. 3 RAJ par renvoi de l’art. 26b TFIP) et 7,7 % de TVA sur le tout, de sorte que l'indemnité est arrêtée à 1'294 fr. 55. Concernant Me le Boudec, il est suffisant de retenir 2 h pour la lecture et l’analyse du jugement de première instance. Au tarif horaire de 180 fr. (art. 2 al. 1 let. a RAJ par renvoi de l’art. 26b TFIP), le défraiement s’élève à 360 francs. Il faut ajouter 2 % pour les débours forfaitaires, soit 7 fr. 20, et 7,7 % de TVA sur le tout, soit une indemnité de 395 fr. 50. Au total, l’indemnité d’office s’élève ainsi à 1'690 fr. 05. Vu l’issue de la cause, les frais de la procédure d’appel, par 3’040 fr. (art. 21 al. 1 et 2 TFIP), ainsi que l'indemnité du défenseur d'office, par 1'690 fr. 05, soit au total 4'730 fr. 05, seront mis à la charge de l'appelant, qui succombe (art. 428 al. 1 CPP). L'appelant ne sera tenu de rembourser à l’Etat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