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455 vom 8. September 2021</w:t>
      </w:r>
    </w:p>
    <w:p>
      <w:r>
        <w:t>VD Tribunal cantonal, 2021-09-08, FR</w:t>
      </w:r>
    </w:p>
    <w:p>
      <w:r>
        <w:rPr>
          <w:b/>
        </w:rPr>
        <w:t xml:space="preserve">Quelle: </w:t>
      </w:r>
      <w:r>
        <w:t>https://mcp.opencaselaw.ch/entscheid/vd_findinfo_Jug___2021___455</w:t>
      </w:r>
    </w:p>
    <w:p>
      <w:r>
        <w:t>FR: VD_FINDINFO Jug / 2021 / 455 du 8 septembre 2021</w:t>
      </w:r>
    </w:p>
    <w:p>
      <w:r>
        <w:t>IT: VD_FINDINFO Jug / 2021 / 455 del 8 settembre 2021</w:t>
      </w:r>
    </w:p>
    <w:p>
      <w:pPr>
        <w:pStyle w:val="Heading2"/>
      </w:pPr>
      <w:r>
        <w:t>Regeste</w:t>
      </w:r>
    </w:p>
    <w:p>
      <w:r>
        <w:t>ESCROQUERIE EN MATIÈRE DE PRESTATIONS, REPENTIR SINCÈRE | 146 CP, 148a CP, 48 CP, 52 CP, 53 CP</w:t>
      </w:r>
    </w:p>
    <w:p>
      <w:pPr>
        <w:pStyle w:val="Heading2"/>
      </w:pPr>
      <w:r>
        <w:t>Erwägungen</w:t>
      </w:r>
    </w:p>
    <w:p>
      <w:r>
        <w:rPr>
          <w:b/>
        </w:rPr>
        <w:t>E. 1</w:t>
      </w:r>
    </w:p>
    <w:p>
      <w:r>
        <w:t>Interjetés dans les formes et délais légaux (art. 399 et 400 al. 3 let. b CPP [Code de procédure pénale suisse du</w:t>
      </w:r>
    </w:p>
    <w:p>
      <w:r>
        <w:rPr>
          <w:b/>
        </w:rPr>
        <w:t>E. 5</w:t>
      </w:r>
    </w:p>
    <w:p>
      <w:r>
        <w:t>octobre 2007 ; RS 312.0]) par des parties ayant qualité pour recourir contre le jugement d'un tribunal de première instance qui a clos la procédure (art. 398 al. 1 CPP), les appels d’B.G.________ et de A.G.________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 3. Les appelants invoquent une violation du droit d’être entendu. Ils exposent s’être vu « priver de l’audition de deux personnes essentielles », soit [...], signataire de la dénonciation pénale, et [...], qui était en charge de leur dossier. Ils soutiennent en outre que le premier juge aurait dû suspendre la procédure afin d’entreprendre diverses mesures d’instruction à décharge. 3.1 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133 I 270 consid. 3.1 ; ATF 126 I 15 consid. 2a/aa ; ATF 124 I 49 consid. 3a). 3.2 En l’occurrence, l’argumentation des appelants est peu compréhensible. On ne distingue pas à quel stade de la procédure pénale, le droit d’être entendu aurait été violé. On constatera en outre que, sur requête des appelants (P. 19), [...] et [...] ont été convoquées à l’audience de jugement (P. 31), avant d’en être finalement dispensées (P. 22). La défense en a été avisée, sans que cela ne suscite de réaction de sa part. Elle n’a pas non plus réitéré ou formulé des réquisitions de preuve lors des débats de première instance. Enfin, la plaignante, par l’une de ses représentantes, soit celle en charge du dossier litigieux, a été entendue par le premier juge et les appelants ont pu lui poser des questions. Partant, le droit d’être entendu n’a pas été violé, de sorte que ce moyen doit être rejeté. 4. Sous lettre A du chapitre « Faits » de leur déclaration d’appel, titrée « De la procédure et l’instruction de la cause » (P. 34/1, pp. 9 ss), les appelants émettent divers griefs à l’encontre des services sociaux, sans qu’on comprenne bien quels arguments ils entendent en tirer. De même, sous lettre B « Du jugement querellé » ( ibidem , pp. 16 ss), plusieurs passages du jugement sont critiqués et discutés. Là encore, l’argumentation est confuse et peu compréhensible. Il en ressort essentiellement que les appelants reconnaissent ne pas avoir spontanément annoncé leur compte UBS au moment de la demande d’octroi du revenu d’insertion, mais conteste tout comportement astucieux, étant précisé qu’B.G.________ nie avoir eu connaissance de l’existence du compte en question. Sous lettre B de la partie « Droit » de la déclaration d’appel, titrée « De la violation de l’art. 10 al. 2 CPP – De la constatation incomplète ou erronée des faits au sens de 398 al. 3 CPP » ( ibidem , pp. 25-27), les appelants paraissent soutenir que le premier juge n’aurait pas été libre dans son appréciation des preuves. Ils lui font également grief de n’avoir pas tenu compte des explications de A.G.________. Enfin, sous lettre C, les appelants invoquent une violation du principe « in dubio pro reo » . En définitive, les appelants contestent l’état de fait retenu par le tribunal de première instance, à qui ils reprochent en substance de n’avoir pas pris en compte la version qu’ils ont présentée. 4.1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 L'art.</w:t>
      </w:r>
    </w:p>
    <w:p>
      <w:r>
        <w:rPr>
          <w:b/>
        </w:rPr>
        <w:t>E. 10</w:t>
      </w:r>
    </w:p>
    <w:p>
      <w:r>
        <w:t>al. 3 CPP », les appelants reprochent au premier juge de n’avoir pas cherché à comprendre pourquoi le CSR s’en était pris à eux et pourquoi il ne leur avait pas demandé de fournir une copie de leur déclaration d’impôt. Ils font également grief au tribunal de première instance de n’avoir pas examiné pour quelles raisons un service autre que le CSR, soit les PC Familles, avait découvert le compte UBS, ni à quelle recherche ce dernier s’était livré. Ils s’interrogent enfin sur les motivations du CSR à déposer une plainte pénale trois ans après les faits, alors même le montant réclamé avait été remboursé (P. 34/1, pp. 27 à 30). En l’occurrence, la question de savoir si la dupe pouvait se protéger avec un minimum d'attention ou éviter l'erreur avec le minimum de prudence que l'on pouvait attendre d'elle est une question de droit, et non de fait. Elle se résout dès lors sous l’angle de l’art. 146 CP. 6. Les appelants invoquent une violation de l’art. 146 CP (P. 34/1, pp. 30 à 32). En substance, ils contestent tout comportement astucieux et font valoir que le CSR aurait pu aisément découvrir l’existence du compte UBS en procédant à quelques vérifications élémentaires, notamment en leur demandant leur déclaration d’impôt. A titre subsidiaire, ils considèrent que leur comportement tomberait sous le coup de l’art. 148a CP et que, s’agissant d’un cas de peu de gravité, les faits seraient prescrits ( ibidem , pp. 33 et 34). 6.1 6.1.1 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 TF 6B_613/2020 du 17 septembre 2020 consid. 1.2.1).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arrêts cités). L'infraction d'escroquerie se commet en principe par une action. Tel est le cas lorsqu'elle est perpétrée par actes concluants (ATF 140 IV 11 consid.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références citées). Le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se rend coupable de tromperie « par acte concluant » (ATF 127 IV 163 consid. 2). 6.1.2 Aux termes de l’art. 148a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 Dans les cas de peu de gravité, la peine est l’amende (al. 2). L’art. 148a CP vise toutes les formes de tromperie, sans astuce.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(FF 2013 5373, p. 5432 ; Dupuis et al. [éd.], Petit commentaire, Code pénal, 2 e éd., Bâle 2017, n. 4 ad art. 148a CP). 6.2 En l’espèce, les appelants doivent être reconnus coupables d’escroquerie au sens de l’art. 146 CP. Ils ont en effet adopté un comportement actif, en remplissant la demande de revenu d’insertion et les questionnaires mensuels de manière contraire à la vérité, soit en dissimulant l’existence d’un compte bancaire et les revenus qui y étaient versés. Ils ont de ce fait pu continuer à percevoir indûment des prestations du CSR. La tromperie était en outre difficilement décelable par la dupe, qui, conformément à la jurisprudence, n’avait pas l’obligation de procéder à des vérifications complémentaires compte tenu de l’absence d’indices quant à des éléments de fortune non déclarés. C’est en cela que réside l’astuce. Enfin, comme l’a relevé le premier juge, le fait que l’existence du compte litigieux ait peut-être été portée à la connaissance du CSR par un autre service étatique est sans pertinence. Il en va de même des raisons qui ont poussé la Direction des sports et de la cohésion sociale a déposé plainte, étant rappelé que l’infraction d’escroquerie se poursuit d’office. La condamnation de A.G.________ et d’B.G.________ pour escroquerie doit dès lors être confirmée. A cet égard, l’art. 148a CP plaidé par les appelants est entré en vigueur le 1 er octobre 2016 ; il ne pourrait donc concerner qu’une partie des faits, concurremment avec l’art. 146 CP pour la partie antérieure, soit celle allant de mars au 30 septembre 2016. Il est de toute manière inapplicable au cas d’espèce puisque l’art. 146 CP saisit parfaitement l’incrimination pénale (comportement actif de l’auteur, tromperie, astuce, dommage), l’art. 148a CP étant réservée aux formes de tromperie, sans astuce, ce qui n’est pas le cas ici. 7. A titre subsidiaire, les appelants font valoir qu’ils devraient être exemptés de toute peine en application des art. 52 et 53 CP dès lors, en substance, que leur culpabilité serait légère, qu’ils n’ont pas contesté la décision de la Direction générale de la cohésion sociale du 4 juin 2020 et qu’ils ont immédiatement restitué la somme réclamée. Ils soulignent également que la plainte pénale est intervenue trois ans après les faits et après le remboursement des sommes indues. 7.1 7.1.1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146 IV 297 consid. 2.3; ATF 135 IV 130 consid. 5.2.1 p. 133 s.), mais aussi selon d'autres critères, comme le principe de célérité ou d'autres motifs d'atténuation de la peine indépendants de la faute, tels que l'écoulement du temps depuis la commission de l'infraction (ATF 135 IV 130 consid. 5.4 p. 137; TF 6B_519/2020 du 27 septembre 2021 consid. 2.4; TF 6B_167/2018 du 5 mars 2019 consid. 2.1; TF 6B_320/2013 du 29 août 2013 consid. 4.1). 7.1.2 L’art. 53 aCP dans sa teneur au 30 juin 2019 prévoit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disposition est applicable en l'espèce sans égard à la modification entrée en vigueur le 1 er juillet 2019, qui n'est pas plus favorable à l'appelante dès lors qu’elle pose notamment comme condition supplémentaire que l’auteur ait admis les faits (CAPE du 20 décembre 2021/480 consid. 5.2.2). La renonciation à toute peine suppose donc, en premier lieu, que les conditions du sursis soient réalisées. En second lieu, l'auteur doit avoir réparé le dommage ou accompli tous les efforts que l'on pouvait raisonnablement attendre de lui pour compenser le tort qu'il a causé. A cet égard, il doit démontrer par la réparation du dommage qu'il assume ses responsabilités et reconnaît notamment le caractère illicite ou du moins incorrect de son acte (ATF 135 IV 12 consid. 3.5.3 ; TF 6B_344/2013 du 19 juillet 2013 ; cf. aussi ATF 136 IV 41 consid. 1.2). Si l'auteur persiste à nier tout comportement incorrect, on doit admettre qu'il ne reconnaît pas, ni n'assume sa faute ; l'intérêt public à une condamnation l'emporte donc (TF 6B_558/2009 du 26 octobre 2009 consid. 2.1 et 2.2). Enfin,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(ATF 135 IV 12 consid. 3.4.3 ; TF 6B_533/2019 du 3 juillet 2019 consid. 3.1). 7.2 En l’occurrence, l’art. 52 CP n’entre pas en considération. En effet, comme l’a relevé le premier juge, au regard du montant perçu indûment, soit 17'181 fr. 60 (P. 5/11), il ne peut être considéré que la culpabilité des appelants et les conséquences de leur acte soient peu importantes. L’art. 53 CP ne saurait davantage être appliqué dès lors que les appelants contestent tout comportement pénalement répréhensible ; ils ne reconnaissent ni n’assument leur faute. En outre, le remboursement des indus n’est pas intervenu de manière spontanée, mais après le rejet du recours qu’ils avaient déposé contre la décision du 9 août 2017 du CSR. Enfin, en présence d’une escroquerie à l’aide sociale, l’intérêt public à la poursuite pénale n’est pas de peu d’importance. A cet égard, une exemption de toute peine reviendrait à encourager les justiciables à tromper les autorités en vue d’obtenir des prestations indues, dès lors qu’ils encourraient seulement de devoir rembourser leur dû s’ils étaient éventuellement découverts. 8. Invoquant une violation de l’art. 47 CP, les appelant conteste à titre subsidiaire la peine prononcée par le premier juge. Ils considèrent en particulier que celle-ci devrait être atténuée pour le motif qu’ils auraient fait preuve de repentir sincère au sens de l’art. 48 let. d CP, en remboursant immédiatement les sommes dues. 8.1 8.1.1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8.1.2 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 citées, JdT 1982 IV 136 ; TF 6B_422/2019 du 5 juin 2019 consid. 6.1 ;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non publié aux ATF 143 IV 469 ; TF 6B_289/2016 du 28 décembre 2016 consid. 3.2.1 ; TF 6B_874/2015 du 27 juin 2016 consid. 3.1). Celui qui ne consent à faire un effort particulier que sous la menace de la sanction à venir ne manifeste pas un repentir sincère, il s'inspire de considérations tactiques et ne mérite donc pas d'indulgence particulière (TF 6B_719/2019 du 23 septembre 2019 consid. 2.2 ; TF 6B_1276/2015 du 29 juin 2016 consid. 1.3.1 et les réf. citées). La jurisprudence prévoit que le repentir sincère visé à l'art. 48 let. d CP suppose une prise de conscience du caractère répréhensible de l'infraction et un changement d'état d'esprit sincère du délinquant, qu'une bonne collaboration à l'enquête n'implique pas nécessairement (cf. TF 6B_291/2007 du 25 janvier 2008 consid. 3.2). En l'absence de réelle prise de conscience, les excuses et regrets ne sont pas assimilables à un repentir sincère (cf. art. 48 let. d CP ; TF 6B_1054/2019, déjà cité, consid. 1.4 ; TF 6B_584/2019 du 15 août 2019 consid. 2.3 ; TF 6B_1368/2016 du 15 novembre 2017 consid. 5.1 non publié aux ATF 143 IV 469). 8.2 En l’espèce, la peine pécuniaire de 80 jours-amende à 30 fr. le jour infligée tant à A.G.________ qu’à B.G.________ a été fixée conformément aux principes applicables, à la culpabilité et à la situation personnelle des prévenus. Comme l’a relevé le premiers juge, leur culpabilité ne doit pas être minimisée. A.G.________ a dissimulé l’existence d’un compte bancaire au solde important et les versements effectués sur ce compte en raison de son activité indépendante. Il a, avec son épouse, perçu plusieurs milliers de francs auxquels il n’aurait pas eu droit si le CSR avait eu connaissance de l’entier de sa situation financière. De plus, l’appelant bénéficiait d’une formation dans le domaine juridique, de sorte que l’illégalité de son comportement ne pouvait pas lui échapper. Lors des débats d’appel, il n’a fait preuve d’aucune remise en question. Finalement, on ne discerne pas d’élément dans sa situation personnelle qui pourrait justifier son attitude. A décharge, et contrairement à ce que soutiennent les appelant, le tribunal de première instance a tenu compte du remboursement intégral de l’indu. Quant à B.G.________, elle était parfaitement au courant de la situation et de l’existence du compte litigieux, mais a néanmoins signé des documents dont elle savait la teneur inexacte. Sa culpabilité est équivalente à celle de son mari. Aucun élément dans sa situation personnelle n’est de nature à justifier son attitude, sa méconnaissance des aspects administratifs et des finances du couple n’étant pas crédible. Le remboursement de l’indu a également été retenu à décharge par le premier juge. Pour le surplus, l’art. 48 let. d CP est inapplicable en l’espèce. En effet, le fait que les appelants ont remboursé les montants réclamés par le CSR n’est pas constitutif d’un repentir sincère. En effet, comme l’a relevé le Tribunal de police, le remboursement n’est pas intervenu de manière spontanée mais à la suite du rejet de leur recours. Au demeurant, la quotité de la peine tient compte du fait que le dommage a été remboursé. Au vu de ce qui précède, les peines pécuniaires prononcées sont adéquates et doivent être confirmées, tout comme le délai d’épreuve de 2 ans assortissant les sursis accordés. 9. En définitive, les appels d’B.G.________ et de A.G.________ doivent être rejetés et le jugement entrepris intégralement confirmé. Vu l'issue de la cause, les frais de la procédure d'appel, constitués du seul émolument de jugement, par 2’380 fr. (art. 21 al. 1 et 2 TFIP [Tarif des frais de procédure et indemnités en matière pénale du 28 septembre 2010 ; BLV 312.03.1]), seront mis à la charge d’B.G.________ et de A.G.________, qui succombent, par moitié chacun, soit par 1'190 fr. chacun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