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45 vom 1. Februar 2021</w:t>
      </w:r>
    </w:p>
    <w:p>
      <w:r>
        <w:t>VD Tribunal cantonal, 2021-02-01, FR</w:t>
      </w:r>
    </w:p>
    <w:p>
      <w:r>
        <w:rPr>
          <w:b/>
        </w:rPr>
        <w:t xml:space="preserve">Quelle: </w:t>
      </w:r>
      <w:r>
        <w:t>https://mcp.opencaselaw.ch/entscheid/vd_findinfo_Jug___2021___45</w:t>
      </w:r>
    </w:p>
    <w:p>
      <w:r>
        <w:t>FR: VD_FINDINFO Jug / 2021 / 45 du 1 février 2021</w:t>
      </w:r>
    </w:p>
    <w:p>
      <w:r>
        <w:t>IT: VD_FINDINFO Jug / 2021 / 45 del 1 febbraio 2021</w:t>
      </w:r>
    </w:p>
    <w:p>
      <w:pPr>
        <w:pStyle w:val="Heading2"/>
      </w:pPr>
      <w:r>
        <w:t>Regeste</w:t>
      </w:r>
    </w:p>
    <w:p>
      <w:r>
        <w:t>NOUVEAU MOYEN DE FAIT, DÉCISION D'IRRECEVABILITÉ | 411 CPP (CH), 412 al. 2 CPP (CH)</w:t>
      </w:r>
    </w:p>
    <w:p>
      <w:pPr>
        <w:pStyle w:val="Heading2"/>
      </w:pPr>
      <w:r>
        <w:t>Erwägungen</w:t>
      </w:r>
    </w:p>
    <w:p>
      <w:r>
        <w:rPr>
          <w:b/>
        </w:rPr>
        <w:t>E. 1.1</w:t>
      </w:r>
    </w:p>
    <w:p>
      <w:r>
        <w:t>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 e phrase, CPP). Cette disposition reprend la double exigence posée à l'art. 385 CP (Code pénal suisse du 21 décembre 1937; RS 311.0), selon laquelle les faits ou moyens de preuve invoqués doivent être nouveaux et sérieux (TF 6B_574/2019 du 9 septembre 2019 consid. 1.1 et les références citées). Les faits ou moyens de preuve sont inconnus lorsque le juge n'en a pas eu connaissance au moment où il s'est prononcé, c'est-à-dire lorsqu'ils ne lui ont pas été soumis sous quelque forme que ce soit (ATF 137 IV 59 consid. 5.1.2 p. 66 s.; ATF 130 IV 72 consid. 1 p. 73; TF 6B_1061/2019 du 28 mai 2020 consid. 3.1; TF 6B_1110/2019 du 18 décembre 2019 consid. 1.1.1; TF 6B_342/2019 du 9 juillet 2019 consid. 1.1). Ils sont sérieux lorsqu'ils sont propres à ébranler les constatations de fait sur lesquelles se fonde la condamnation et que l'état de fait ainsi modifié rend possible un jugement sensiblement plus favorable au condamné (ATF 145 IV 197 consid. 1.1 p. 199; ATF 137 IV 59 consid. 5.1.4 p. 68; ATF 130 IV 72 consid. 1 p. 73; TF 6B_1061/2019 précité consid. 3.1; TF 6B_342/2019 précité consid. 1.1; TF 6B_574/2019 du 9 septembre 2019 consid. 1.1).</w:t>
      </w:r>
    </w:p>
    <w:p>
      <w:r>
        <w:rPr>
          <w:b/>
        </w:rPr>
        <w:t>E. 1.2</w:t>
      </w:r>
    </w:p>
    <w:p>
      <w:r>
        <w:t>Ce moyen de droit extraordinaire permet de revoir un jugement entré en force et entaché d'une erreur de fait. Moyen de droit subsidiaire, la révision n'est pas ouverte contre les décisions pour lesquelles d'autres voies de recours sont ouvertes; la révision ne doit en effet pas servir à pallier l'oubli d'un moyen de droit dit ordinaire (Moreillon/Parein-Reymond, Petit commentaire du Code de procédure pénale, 2 e éd., Bâle 2016, n. 2 ad remarques préliminaires aux art. 410 à 415 CPP et la référence citée).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Selon l'art. 412 al. 2 CPP, la juridiction d'appel n'entre pas en matière si la demande de révision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 ATF 143 IV 122 consid. 3.5 p. 129) ou encore lorsque la demande de révision apparaît abusive (TF 6B_1061/2019 du 28 mai 2020 consid. 3.2; TF 6B_1110/2019 précité consid. 1.1.2 et les références citées; TF 6B_1126/2019 du 4 novembre 2019 consid. 1.1; TF 6B_1170/2015 du 10 octobre 2016 consid. 2).</w:t>
      </w:r>
    </w:p>
    <w:p>
      <w:r>
        <w:rPr>
          <w:b/>
        </w:rPr>
        <w:t>E. 1.3</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2.3 p. 75 s.; TF 6B_662/2019 du 23 août 2019 consid. 1.1).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145 IV 197 consid. 1.1 p. 199; ATF 130 IV 72 consid. 2.3 p. 75 s.; TF 6B_1061/2019 précité consid. 3.3; TF 6B_662/2019 précité consid. 1.1).</w:t>
      </w:r>
    </w:p>
    <w:p>
      <w:r>
        <w:rPr>
          <w:b/>
        </w:rPr>
        <w:t>E. 1.4</w:t>
      </w:r>
    </w:p>
    <w:p>
      <w:r>
        <w:t>L'examen préalable de la demande de révision relève de la procédure écrite (art. 412 al. 1 CPP).</w:t>
      </w:r>
    </w:p>
    <w:p>
      <w:r>
        <w:rPr>
          <w:b/>
        </w:rPr>
        <w:t>E. 2</w:t>
      </w:r>
    </w:p>
    <w:p>
      <w:r>
        <w:t>La requérante invoque l’état de légitime défense, étendu à la légitime défense pour autrui. Elle soutient que « l’affaire (…) a été jugée (…) suite à de graves agressions sur [s]on époux [...] ». Ce faisant, elle n’invoque aucun fait nouveau. Implicitement déduit de l’art. 15 CP (qui englobe la légitime défense pour autrui [ Notwehrhilfe ]), le moyen de droit articulé l’avait en effet déjà été durant l’enquête, l’intéressée ayant alors déjà présenté sa version des faits (cf. not. PV aud. 3, l. 33-41 et 49-51). Le moyen invoqué en procédure de révision aurait sans autre pu être soulevé devant le Ministère public par une opposition au sens de l’art. 354 al. 1 let. a CPP, voie de droit prévue à cet effet. La requérante n’en a toutefois rien fait. Or, comme déjà relevé, la révision constitue un moyen de droit extraordinaire et subsidiaire qui ne doit pas servir à pallier l'oubli d'un moyen de droit ordinaire. Pour le surplus, la requérante n’invoque aucun autre moyen de preuve.</w:t>
      </w:r>
    </w:p>
    <w:p>
      <w:r>
        <w:rPr>
          <w:b/>
        </w:rPr>
        <w:t>E. 3</w:t>
      </w:r>
    </w:p>
    <w:p>
      <w:r>
        <w:t>Il résulte de ce qui précède que la demande de révision doit être déclarée irrecevable, sans échange d’écritures (art. 412 al. 2 CPP). Vu l’issue de la cause, les frais de révision, par 550 fr. (art. 21 al. 1 LFIP [Tarif des frais de procédure et indemnités en matière pénale du 28 septembre 2010; BLV 312.03.1]), sont mis à la charge de la requérante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