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419 vom 19. Mai 2021</w:t>
      </w:r>
    </w:p>
    <w:p>
      <w:r>
        <w:t>VD Tribunal cantonal, 2021-05-19, FR</w:t>
      </w:r>
    </w:p>
    <w:p>
      <w:r>
        <w:rPr>
          <w:b/>
        </w:rPr>
        <w:t xml:space="preserve">Quelle: </w:t>
      </w:r>
      <w:r>
        <w:t>https://mcp.opencaselaw.ch/entscheid/vd_findinfo_Jug___2021___419</w:t>
      </w:r>
    </w:p>
    <w:p>
      <w:r>
        <w:t>FR: VD_FINDINFO Jug / 2021 / 419 du 19 mai 2021</w:t>
      </w:r>
    </w:p>
    <w:p>
      <w:r>
        <w:t>IT: VD_FINDINFO Jug / 2021 / 419 del 19 maggio 2021</w:t>
      </w:r>
    </w:p>
    <w:p>
      <w:pPr>
        <w:pStyle w:val="Heading2"/>
      </w:pPr>
      <w:r>
        <w:t>Regeste</w:t>
      </w:r>
    </w:p>
    <w:p>
      <w:r>
        <w:t>ESCROQUERIE, TENTATIVE{DROIT PÉNAL}, IN DUBIO PRO REO, PEINE PÉCUNIAIRE, SURSIS À L'EXÉCUTION DE LA PEINE, PRONOSTIC | 22 ad 146 CP, 41 al. 1 CP, 42 CP, 47 CP</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3.1</w:t>
      </w:r>
    </w:p>
    <w:p>
      <w:r>
        <w:t>Invoquant une violation du principe in dubio pro reo , l'appelant conteste avoir avoué qu’il avait réclamé le remboursement de valeurs qui n’avaient pas été emportées par les voleurs (appel p. 7 ; jugt, p. 8). Le premier juge n’aurait pas dû douter du fait que des bijoux avaient été achetés en plusieurs exemplaires identiques par « une belle-mère et sa belle-fille » (jugt, p. 8) ou du fait qu’il avait racheté certains bijoux après le cambriolage sans pouvoir fournir de quittance.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w:t>
      </w:r>
    </w:p>
    <w:p>
      <w:r>
        <w:t>En l’espèce, l’appelant a commencé par déclarer à la police avoir fourni toutes les quittances qu’il avait trouvées « sans vraiment faire attention si [elles] correspondaient vraiment à ce qui avait été volé » (PV aud. 3, R 7 ; PV aud. 4, ligne 54). Il ne peut dès lors pas invoquer une violation du principe in dubio pro reo au motif que cela a été retenu dans le jugement. La question de savoir si ces éléments sont constitutifs d’une escroquerie sera examinée sous chiffre 4 ci-dessous. L’appelant reproche ensuite au premier juge d’avoir retenu qu’il existait des doutes quant au fait qu’il ait acheté les mêmes bijoux pour « une belle-mère et sa belle-fille » (jugt, p. 8). Or l’appréciation du premier juge à cet égard doit être confirmée. Le prévenu a f ourni des explications invraisemblables et contradictoires sur ce point : lors de son audition par la police du 3 novembre 2020, il a d’abord déclaré que les voleurs avaient pris « tous les bijoux de la maison », à l’exception des colliers et bagues portés par sa femme et sa belle-fille ce jour-là (PV aud. 3, R. 4) ; ensuite, questionné quant à la provenance des bijoux retrouvés à son domicile lors de la perquisition de juin 2020, il a expliqué qu’ils avaient « tous été achetés ou reçus après le cambriolage », mais qu’il y avait « peut-être une ou deux exceptions » (PV aud. 3, R. 5) ; lors de son audition du 8 février 2021 (PV aud. 4), il a affirmé qu’ils étaient deux familles et que les bijoux à double se trouvaient en fait « dans d’autres appartements de la famille », raison pour laquelle il n’avaient pas été volés (lignes 58 à 61), tout en confirmant qu’à l’époque du cambriolage, sa femme et sa belle-fille vivaient avec lui dans le même appartement, mais qu’au moment des faits, cette dernière « devait avoir ses bijoux sur elle » (lignes 62 à 65); quant au collier que sa femme portait le jour du vol, il a dit qu’il était « peut-être » parmi les bijoux retrouvés dans la valise, mais que c’était « une erreur » (lignes 65 et 66) ; enfin, il a répété que ces doubles provenaient de « rachats subséquents au cambriolage pour diverses fêtes » (lignes 68 et 69), et à la question de savoir si parmi les bijoux découverts chez lui il n’y avait pas un de ceux que sa femme et sa belle-fille avaient à double, il a répondu « franchement, je ne sais pas quoi dire » (ligne 86) . Au vu de ses explications, le prévenu n’est donc absolument pas crédible lorsqu’il prétend que la propriétaire des bijoux les stockait dans un autre appartement que celui où elle habitait. Cela étant, les doutes ne résultent pas du seul fait que les bijoux aient été achetés à double pour deux personnes distinctes, mais bien du fait que, si tel avait été le cas, les voleurs ne se seraient alors pas contentés que de l’un des deux exemplaires. Tout cela est d’autant moins probable que sur les quittances produites, les bijoux ne sont pas achetés à double. S’agissant enfin de l’argument selon lequel les bijoux auraient été rachetés à l’identique après le vol, le fait que l’appelant ne soit pas en mesure de produire une seule quittance, alors qu’il avait pu le faire pour des quittances plus anciennes lorsqu’il s’agissait d’obtenir un remboursement de la part de son assurance, suffit à retenir que cette hypothèse doit être écartée. D’ailleurs, l’appelant ne précise pas quels seraient les bijoux qui auraient été rachetés. En outre, force est de constater qu’aucune facture postérieure au cambriolage du 1 er avril 2018 ne figure dans le dossier relatif au sinistre transmis par la S.________ au Procureur, sur demande de celui-ci (P. 26 à 28), de sorte que c’est en vain que l’appelant a prétendu qu’il ne disposait plus des copies de ces factures car il les avait toutes soumises à l’assurance. Ainsi, au vu des différentes versions de l’appelant, qui se contredisent d’ailleurs entre elles, il n’y a aucun doute sur le fait que la liste des bijoux fournie à l’assurance ne correspond pas entièrement à des objets qui ont été dérobés. Le grief est donc mal fondé et doit être rejeté.</w:t>
      </w:r>
    </w:p>
    <w:p>
      <w:r>
        <w:rPr>
          <w:b/>
        </w:rPr>
        <w:t>E. 4.1</w:t>
      </w:r>
    </w:p>
    <w:p>
      <w:r>
        <w:t>L’appelant estime que n’ayant remis qu’un inventaire des biens dérobés, des photos et quelques copies de quittances, il n’y a ni édifice de mensonge ni mise en scène particulière et que l’escroquerie ne peut pas être retenue. Au demeurant, l’assurance avait presté pour un montant d’environ 15'000 fr. (ndr : chiffre retenu en page 7 du jugement, mais il s’agit en réalité de 17'500 fr. [P. 27)], sans procéder à aucune vérification du sinistre ou des objets dérobés, alors qu’une prudence élémentaire était de mise. Elle aurait notamment dû se rendre sur place.</w:t>
      </w:r>
    </w:p>
    <w:p>
      <w:r>
        <w:rPr>
          <w:b/>
        </w:rPr>
        <w:t>E. 4.2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Le devoir de vérification de la dupe n'est pas illimité, même lorsque celle-ci est une assurance, soit une entité supposée disposer de connaissances professionnelles accrues et faire preuve d'une attention plus élevée dans le traitement de ses affaires (TF 6B_593/2009 du 14 septembre 2009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4.3.1</w:t>
      </w:r>
    </w:p>
    <w:p>
      <w:r>
        <w:t>En l’occurrence, l’appelant reproche à l’assurance de ne pas avoir procédé à des vérifications supplémentaires, notamment en se rendant chez lui. Or l’assurance a obtenu un inventaire, des photos et des quittances d’achat. Elle était dès lors autorisée à considérer que l’appelant avait bel est bien été propriétaire des biens supposés volés. Selon le rapport de police, les auteurs du vol auraient pénétré dans l’appartement en forçant la porte-fenêtre de la cuisine avec un outil plat (P. 5) et l’assurance pouvait dès lors également considérer qu’il y avait eu vol avec effraction le soir en question. Exiger de celle-ci qu’elle se rende sur place pour vérifier que l’appelant n’était plus en possession des biens annoncés comme dérobés est une mesure parfaitement disproportionnée et au demeurant assurément vaine, dès lors que les biens auraient pu être déplacés ou cachés à un autre endroit. Il n’y a dès lors pas de coresponsabilité de l’assurance, et l’absence de mise en scène ou d’édifice de mensonges n’est pas relevante puisqu’a été retenue l’impossibilité de vérification.</w:t>
      </w:r>
    </w:p>
    <w:p>
      <w:r>
        <w:rPr>
          <w:b/>
        </w:rPr>
        <w:t>E. 4.3.2</w:t>
      </w:r>
    </w:p>
    <w:p>
      <w:r>
        <w:t>Cela étant, on ignore à quoi correspondent les 17'500 fr. que l’assurance a versés au prévenu – sur la base des documents que celui-ci lui a transmis – à titre de « règlement » du dommage consécutif au vol annoncé (P. 27). Partant, il n’est pas possible d’imputer aux agissements du prévenu au-delà de tout doute raisonnable les 17'500 fr. payés par l’assurance. L’enrichissement indu de l’appelant à raison de son comportement ayant consisté à gonfler la facture adressée à l’assurance n’est donc pas établi. Pour ce motif, on retiendra que l’escroquerie est demeurée au stade de la tentative . L’appel doit donc être partiellement admis dans ce sens.</w:t>
      </w:r>
    </w:p>
    <w:p>
      <w:r>
        <w:rPr>
          <w:b/>
        </w:rPr>
        <w:t>E. 5.1</w:t>
      </w:r>
    </w:p>
    <w:p>
      <w:r>
        <w:t>L’appelant fait valoir, à titre subsidiaire, que le premier juge ne pouvait pas prononcer une peine privative de liberté, seule une peine pécuniaire étant adéquate.</w:t>
      </w:r>
    </w:p>
    <w:p>
      <w:r>
        <w:rPr>
          <w:b/>
        </w:rPr>
        <w:t>E. 5.2.1</w:t>
      </w:r>
    </w:p>
    <w:p>
      <w:r>
        <w:t>Selon l’art. 146 al. 1 CP, l’escroquerie est passible d’une peine privative de liberté de 5 ans au plus ou d’une peine pécuniaire.</w:t>
      </w:r>
    </w:p>
    <w:p>
      <w:r>
        <w:rPr>
          <w:b/>
        </w:rPr>
        <w:t>E. 5.2.2</w:t>
      </w:r>
    </w:p>
    <w:p>
      <w:r>
        <w:t>Depuis le 1 er janvier 2018, la durée minimale de la peine privative de liberté est de trois jours (art. 40 al. 1 1 ère phrase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Dans la conception de la partie générale du CP, l 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CP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 TF 6B_1000/2014 du 23 juin 2015 consid. 6.1, non publié aux ATF 141 IV 262 ; TF 6B_709/2013 du 27 janvier 2014 consid. 2). Lorsque des motifs de prévention spéciale permettent de considérer qu'une peine pécuniaire serait d'emblée inadaptée, l'autorité peut prononcer une peine privative de liberté de courte durée (TF 6B_599/2020 du 31 mai 2021 consid. 1.2 ; TF 6B_938/2019 du 18 novembre 2019 consid. 3.4.2 ; TF 6B_887/2017 du 8 mars 2018 consid. 4.2).</w:t>
      </w:r>
    </w:p>
    <w:p>
      <w:r>
        <w:rPr>
          <w:b/>
        </w:rPr>
        <w:t>E. 5.2.3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w:t>
      </w:r>
    </w:p>
    <w:p>
      <w:r>
        <w:rPr>
          <w:b/>
        </w:rPr>
        <w:t>E. 5.3.1</w:t>
      </w:r>
    </w:p>
    <w:p>
      <w:r>
        <w:t>En l’espèce, la culpabilité de H.________, qui doit être reconnu coupable de tentative d’escroquerie au détriment de son assurance privée la S.________, n’est pas négligeable. On retiendra, avec le premier juge, son entêtement à nier l’évidence malgré les preuves à charge, les scenarios farfelus présentés sans scrupule devant les autorités pénales, ainsi que l’absence de prise de conscience de la gravité des actes. A rrêtée à 60 jours, la quotité de la peine est ainsi conforme aux critères découlant de l’art. 47 CP et peut être confirmée. Le fait que l’escroquerie n’ait pas été consommée mais en soit restée au stade de la tentative ne doit pas conduire à une réduction de peine, compte tenu de la gravité des faits et dans la mesure où, en l’occurrence, la tentative était achevée, étant par ailleurs relevé que la juridiction d’appel fixe à nouveau la peine en procédant à sa propre appréciation. Le caractère ferme est au surplus justifié. En effet, outre l’absence de prise de conscience, il faut constater, avec le premier juge, que le prévenu a adressé à l’assurance la liste des objets prétendument dérobés le 27 avril 2018, soit trois jours à peine après avoir été condamné, le 24 avril 2018, par ordonnance pénale pour violation grave des règles de la circulation routière et violation des obligations en cas d’accident (fuite) à une peine pécuniaire de 100 jours-amende à 30 francs. L e pronostic à poser ne peut dès lors qu’être défavorable.</w:t>
      </w:r>
    </w:p>
    <w:p>
      <w:r>
        <w:rPr>
          <w:b/>
        </w:rPr>
        <w:t>E. 5.3.2</w:t>
      </w:r>
    </w:p>
    <w:p>
      <w:r>
        <w:t>Autre est la question du genre de peine. Tout d’abord, les motifs de prévention spéciale ne permettent pas de considérer qu'une peine pécuniaire serait d'emblée inadaptée. Le prévenu a certes un antécédent et a récidivé juste après avoir été condamné, mais les biens juridiques ne sont pas les mêmes. En outre, s’il dispose d’une situation financière modeste, il n’est pas exclu qu’il soit en mesure de payer une peine pécuniaire, l’intéressé indiquant d’ailleurs être titulaire d’un compte en banque faisant état, à fin septembre 2021, d’un disponible de 5'891 fr., comme l’en atteste la pièce qu’il a produite aux débats (P. 42). Surtout, l’appelant ne paraît pas à ce point irrémédiablement ancré dans la délinquance que seule une peine privative de liberté puisse lui faire prendre conscience de la gravité de ses actes. Dans ces circonstances, une peine pécuniaire ferme de 60 jours-amende suffira à détourner l'auteur d'autres délits. Compte tenu de la situation financière, la quotité du jour-amende doit être arrêtée à 30 fr., conformément à l’art. 34 al. 2 CP. L’appel doit être admis dans cette mesure.</w:t>
      </w:r>
    </w:p>
    <w:p>
      <w:r>
        <w:rPr>
          <w:b/>
        </w:rPr>
        <w:t>E. 6</w:t>
      </w:r>
    </w:p>
    <w:p>
      <w:r>
        <w:t>H.________ succombant à l’action pénale, il se justifie de lui imputer l’entier des frais de procédure de première instance, même si seule la tentative sera retenue en relation avec les faits reprochés (cf. art. 426 al. 1 CPP). L’appelant estime qu’une indemnité de l’art. 429 CPP aurait dû lui être octroyée pour ses frais d’avocat. Cette prétention est toutefois sans objet, la condamnation devant être confirmée.</w:t>
      </w:r>
    </w:p>
    <w:p>
      <w:r>
        <w:rPr>
          <w:b/>
        </w:rPr>
        <w:t>E. 7</w:t>
      </w:r>
    </w:p>
    <w:p>
      <w:r>
        <w:t>Au vu de ce qui précède, l’appel doit être partiellement admis et le jugement entrepris réformé aux chiffres II et III de son dispositif dans le sens des considérants qui précèdent. Vu l’issue de la cause, les frais de la procédure d'appel, constitués en l’espèce de l’émolument du présent jugement, par 1'940 fr. (art. 21 al. 1 et 2 TFIP [tarif des frais de procédure et indemnités en matière pénale du 28 septembre 2010 ; BLV 312.03.1]), seront mis par deux tiers à la charge de H.________ (art. 428 al. 1 CPP), le solde étant laissé à la charge de l’Etat. H.________, qui a procédé avec l’assistance d’un avocat de choix, a droit à une indemnité pour les dépenses occasionnées par l’ exercice raisonnable de ses droits en procédure d’appel. La requête en indemnité produite en audience d’appel (P. 43) fait état d’un temps total consacré au mandat de 12h51, soit 1h26 pour l’avocat breveté et 11h25 pour l’avocat-stagiaire (durée de l’audience estimée à 1 heure comprise). L’appelant revendique un tarif de 400 fr. de l’heure pour l’avocat et de 200 fr. de l’heure pour l’avocat-stagiaire. Or, la cause étant simple et ressortant de la compétence d’un Tribunal de police, c’est un tarif horaire d’avocat de 250 fr. de l’heure et d’avocat-stagiaire de 160 fr. de l’heure qui sera appliqué (art. 26a TFIP). S’agissant du temps d’activité, compte tenu de la connaissance du dossier acquise en première instance par le mandataire et son stagiaire, le total des heures annoncées est légèrement excessif. L’exercice raisonnable des droits de procédure nécessitait en tout et pour tout 1 heure de travail pour l’avocat – pour des lettres et la « lecture et analyse du jugement » – et 8h00 de travail pour l’avocat-stagiaire (y compris 15 minutes d’audience d’appel), temps essentiellement consacré à la rédaction de l’appel, étant rappelé que les mémos correspondent exclusivement à du travail de secrétariat et entrent dans les frais généraux de l'avocat, déjà compris dans l'indemnité horaire. Ainsi, il se justifie de tenir compte d’un montant total de 1'530 fr. ([1h x 250 fr.] + [8h x 160 fr.]), qui sera réduit de deux tiers afin d’appliquer le même ratio que pour les frais de justice, soit un montant de 510 fr., auquel il convient d’ajouter des débours forfaitaires à hauteur de 2 %, par 10 fr. 20, et une vacation à 80 francs. En y ajoutant la TVA, par 46 fr. 20, c’est une indemnité réduite de l’art. 429 al. 1 let. a CPP de 646 fr. 40 qui sera allouée à H.________ pour la procédure d’appel, à la charge de l’Etat. En application de l’art. 442 al. 4 CPP, les frais de première et de deuxième instances mis à la charge de H.________ seront compensés à due concurrence avec l’indemnité qui lui est allouée pour les dépenses occasionnées par l’exercice raisonnable de ses droits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