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403 vom 19. Februar 2021</w:t>
      </w:r>
    </w:p>
    <w:p>
      <w:r>
        <w:t>VD Tribunal cantonal, 2021-02-19, FR</w:t>
      </w:r>
    </w:p>
    <w:p>
      <w:r>
        <w:rPr>
          <w:b/>
        </w:rPr>
        <w:t xml:space="preserve">Quelle: </w:t>
      </w:r>
      <w:r>
        <w:t>https://mcp.opencaselaw.ch/entscheid/vd_findinfo_Jug___2021___403</w:t>
      </w:r>
    </w:p>
    <w:p>
      <w:r>
        <w:t>FR: VD_FINDINFO Jug / 2021 / 403 du 19 février 2021</w:t>
      </w:r>
    </w:p>
    <w:p>
      <w:r>
        <w:t>IT: VD_FINDINFO Jug / 2021 / 403 del 19 febbraio 2021</w:t>
      </w:r>
    </w:p>
    <w:p>
      <w:pPr>
        <w:pStyle w:val="Heading2"/>
      </w:pPr>
      <w:r>
        <w:t>Regeste</w:t>
      </w:r>
    </w:p>
    <w:p>
      <w:r>
        <w:t>LÉSION CORPORELLE SIMPLE, INJURE | 123 ch. 1 al. 1 CP, 177 al. 1 CP</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6B_672/2019 du 6 août 2019 consid. 1.1).</w:t>
      </w:r>
    </w:p>
    <w:p>
      <w:r>
        <w:rPr>
          <w:b/>
        </w:rPr>
        <w:t>E. 3.1</w:t>
      </w:r>
    </w:p>
    <w:p>
      <w:r>
        <w:t>L'appelant soutient que, bien que se trouvant dans un cas de défense obligatoire au sens de l’art. 130 let. b CPP dans le sens où il encourait une expulsion du territoire suisse, il n’a pas été représenté durant toute la procédure ; en outre, il ne pouvait pas comprendre seul les aspects techniques des divers rapports médicaux produits par la plaignante, sa situation socio-économique était défavorable et il ne maîtrisait pas le français. Il fait valoir aussi que le principe d’égalité des armes a été violé car la plaignante a bénéficié d’un conseil d’office durant toute la procédure. Dans ces conditions, il considère que tous les moyens preuves sont inexploitables, y compris les rapports médicaux produits par la plaignante, et ajoute qu’il n'a pas été en mesure de participer activement à l'administration des preuves malgré sa requête expresse en ce sens.</w:t>
      </w:r>
    </w:p>
    <w:p>
      <w:r>
        <w:rPr>
          <w:b/>
        </w:rPr>
        <w:t>E. 3.2.1</w:t>
      </w:r>
    </w:p>
    <w:p>
      <w:r>
        <w:t>Aux termes de l'art. 130 let. b CPP, le prévenu doit avoir un défenseur s'il encourt une peine privative de liberté de plus d'un an, une mesure entraînant une privation de liberté ou une expulsion (dans sa teneur modifiée par la Loi fédérale du 20 mars 2015 [Mise en œuvre de l'art. 121 al. 3 à 6 Cst. relatif au renvoi des étrangers criminels], en vigueur depuis le 1 er octobre 2016 ; RO 2016 2329). Selon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Sinon, l'audition sera inexploitable (TF 6B_883/2013 du 17 février 2014 consid. 2.1.2 et 2.3, SJ 2014 I p. 348). Selon la jurisprudence de la Chambre des recours pénale, la défense obligatoire doit être garantie dès la première audition, au sens temporel du mot, c'est-à-dire même si celle-ci est menée par la police, mais avant l'ouverture de l'instruction par le Ministère public (JdT 2012 III 141 ; CREP 13 novembre 2019/914 consid. 2.2.2 ; CREP 15 avril 2016/247 consid. 2.1 et les références). Cette conclusion est en accord avec la systématique de la loi qui exige qu'une défense obligatoire soit déjà garantie avant l'ouverture de l'instruction s'il s'agit d'un cas reconnaissable dès le début de la procédure préliminaire ; or la procédure préliminaire commence, selon l'art. 299 al. 1 CPP, au stade de l'investigation par la police. Si, à ce stade, il est clair qu'un cas de défense obligatoire est réalisé, celle-ci doit être assurée avant l'ouverture de l'instruction (JdT 2012 III 141 précité et les références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Code de procédure pénale, 2 e éd., Bâle 2016, n. 11 ad art. 131 CPP). En d'autres termes, est seule pertinente dans une telle situation la question de savoir si le cas de défense obligatoire était déjà reconnaissable (CAPE 5 mai 2020/154 consid. 4.1 ; CREP 13 novembre 2019/914 précité ; CREP 29 mars 2018/236).</w:t>
      </w:r>
    </w:p>
    <w:p>
      <w:r>
        <w:rPr>
          <w:b/>
        </w:rPr>
        <w:t>E. 3.2.2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6B_12/2020 du 24 janvier 2020 consid. 3.1 ; TF 1B_376/2018 du 4 septembre 2018 consid. 2.1). La désignation d'un défenseur d'office peut ainsi s'imposer selon les circonstances, lorsque le prévenu encourt une peine privative de liberté de quelques semaines à quelques mois et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w:t>
      </w:r>
    </w:p>
    <w:p>
      <w:r>
        <w:rPr>
          <w:b/>
        </w:rPr>
        <w:t>E. 3.3</w:t>
      </w:r>
    </w:p>
    <w:p>
      <w:r>
        <w:t>En l'espèce, à l'ouverture de l'enquête préliminaire, il n'était pas reconnaissable que l’appelant se trouvait dans un cas de défense obligatoire. En effet, au regard du rapport du Centre universitaire romand de médecine légale (ci-après : CURML) du 29 mai 2020, la vie de S.________ n'avait pas été mise en danger et il n'y avait pas de lésions définitives (plaie suturée, ecchymoses et dermabrasions ; P. 13, pp. 10-11). Ensuite, lorsque, par avis de prochaine clôture du 22 juillet 2020, le Ministère public a informé l'appelant qu'il serait mis en accusation par devant le Tribunal pour lésions corporelles simples, celui-ci ne se trouvait toujours pas dans un cas de défense obligatoire. Ce n'est qu'au moment de la transmission de l'acte d'accusation, le 30 octobre 2020, lorsque le Ministère public a considéré que l’infraction de lésions corporelles graves paraissait réalisée, que la nécessité d’une défense est apparue. Il s’ensuit que les preuves administrées dans le cadre de l'enquête sont exploitables. S'agissant du droit à un défenseur d'office, Me Yann Oppliger a été désigné ès qualités dès que l'appelant en a fait la demande, si bien qu'il n'y a pas non plus de violation de l'art. 132 al. 1 let. b CPP.</w:t>
      </w:r>
    </w:p>
    <w:p>
      <w:r>
        <w:rPr>
          <w:b/>
        </w:rPr>
        <w:t>E. 4.1</w:t>
      </w:r>
    </w:p>
    <w:p>
      <w:r>
        <w:t>L'appelant estime que l’autorité intimée a apprécié les faits de manière arbitraire en violation du principe in dubio pro reo . Il soutient que la plaignante a tenu des propos démesurément exagérés, qu’elle s’est contredite à plusieurs reprises, que la violence des faits dont elle se prévaut ne trouve écho ni dans les différents certificats médicaux ni dans le rapport d'intervention des agents intervenus sur place et qu’elle a par ailleurs menti concernant leur conflit de voisinage. En revanche, l’appelant considère que sa version des faits est crédible et cohérente à l’aune des documents précités.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613_47/2018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4.3</w:t>
      </w:r>
    </w:p>
    <w:p>
      <w:r>
        <w:t>En l'espèce, les parties ne contestent pas qu’elles se trouvaient sur un palier de la cage d'escaliers de l’immeuble vers 19h20 le 17 mai 2020 lorsqu’elles se sont croisées. Leurs versions des faits divergent pour la suite de l’événement. Au cours de son audition du 17 mai 2020 par la police, l’appelant a déclaré que la plaignante avait levé le pied en sa direction en disant « Tu ne t’approches pas de moi ! », qu’elle avait perdu l’équilibre et chuté en arrière au sol alors qu’elle ne se tenait plus que sur un pied, qu’elle s’était mise à crier, que les voisins étaient sortis de chez eux et, qu’apeuré par les cris de la plaignante, il était directement rentré chez lui (PV aud. 2, p. 4). Au cours de ses auditions devant le Ministère public, le premier juge et la Cour de céans, il a répété que la plaignante était tombée toute seule car elle avait perdu l’équilibre en faisant mine de lui donner un coup de pied. Comme retenu en première instance, la version des faits de l’appelant n’est globalement pas crédible. Tout d’abord, au cours de l’audience de première instance, il s’est contredit en déclarant d’abord qu’il sortait de son appartement pour aller déplacer sa voiture car il attendait une place libre, puis en déclarant qu’il y avait renoncé après l’incident parce que sa voiture était dans un parking où il n’y avait pas de risque d’amende (jugement, p. 6), ce qui discrédite son assertion selon laquelle il aurait croisé sa voisine par hasard dans les escaliers. Ensuite, comme relevé pertinemment par le premier juge, s’il avait réellement vu la plaignante tomber toute seule devant lui sans rien avoir à se reprocher, sa version consistant à soutenir qu’il aurait eu tellement peur des cris de l’intéressée qu’il serait rentré chez lui, au lieu de lui porter secours, est complètement fantaisiste. Enfin, ses déclarations aux débats selon lesquelles « Elle m’a fait vraiment beaucoup de choses mais maintenant je pense qu’elle a compris » (jugement, p. 6) s’apparentent à un aveu de culpabilité. Cela étant, les déclarations de la plaignante comportent également quelques zones d’ombre. En effet, au cours de son audition du 17 mai 2020, elle a déclaré que le prévenu avait fait mine de lui donner un coup de poing, qu’elle l’avait repoussé avec le pied droit, qu’il l’avait poussée avec ses mains, qu’elle était tombée en arrière au sol en tapant la tête contre le mur, que le prévenu lui avait donné des coups de pied au niveau de la poitrine alors qu’elle était au sol, la tête contre le mur, que sa tête heurtait le mur à chaque coup de pied, qu’elle pensait aussi avoir pris un coup de pied à la tête, qu’elle avait réussi à s’extirper en roulant sur le côté et en rampant jusqu’au rez-de-chaussée chez la concierge, et que le prévenu l’avait suivie jusqu’au rez-de-chaussée mais était rentré chez lui lorsque la concierge avait ouvert sa porte, avant l’arrivée de la police (PV aud. , p. 2). Puis, au cours de l’audience de première instance, son discours a fluctué en ce sens qu’elle ne pouvait plus dire comment le prévenu l’avait poussée et que celui-ci était remonté chez lui non pas après que la concierge avait ouvert sa porte, mais après avoir entendu une première porte s’ouvrir et sa fille descendre les escaliers en entendant ses hurlements (jugement, p. 3). Au cours de l’audience d’appel, la plaignante a confirmé ce qu’elle avait dit durant l’enquête et devant le tribunal de première instance, mais en précisant que, juste après l’incident, elle se trouvait en état de choc et ne se souvenait donc plus exactement de ce qu’elle avait dit à ce moment-là (procès-verbal d’appel, p. 4). La vérité sur le déroulement des faits se situe ainsi quelque part entre les deux versions des protagonistes. Il faut dès lors s’en tenir aux preuves matérielles pouvant être mises en relation avec l’événement du 17 mai 2020, à savoir aux rapports médicaux selon lesquels la plaignante a souffert d’une plaie en région pariéto-occipitale droite de la taille d’une pièce de 20 centimes avec crâne visible, suturée par un point, d’ecchymoses au niveau du thorax à gauche, du sein droit, du membre supérieur droit, du bras gauche et des membres inférieurs, ainsi que de dermabrasions au niveau de la main droite, de l’avant-bras gauche et de la jambe gauche. Les plaies au thorax accréditent la version de la plaignante selon laquelle elle a reçu des coups de pied lorsqu’elle était à terre et que ces coups lui faisaient heurter le mur avec sa tête. Par conséquent, il sera retenu la version de la plaignante selon laquelle l’appelant l’a poussée et qu’elle est tombée, qu’il lui a ensuite donné plusieurs coups de pied au niveau du thorax alors qu’elle était au sol et contre le mur et que chaque coup de pied a eu pour effet de faire cogner sa tête contre le mur.</w:t>
      </w:r>
    </w:p>
    <w:p>
      <w:r>
        <w:rPr>
          <w:b/>
        </w:rPr>
        <w:t>E. 5</w:t>
      </w:r>
    </w:p>
    <w:p>
      <w:r>
        <w:t>juin 2019 consid. 5.1 ; TF 6B_992/2015 du 1 er juin 2016 consid. 2.4.2).</w:t>
      </w:r>
    </w:p>
    <w:p>
      <w:r>
        <w:rPr>
          <w:b/>
        </w:rPr>
        <w:t>E. 5.1</w:t>
      </w:r>
    </w:p>
    <w:p>
      <w:r>
        <w:t>L'appelant estime que les éléments constitutifs de l'infraction de lésions corporelles graves ne sont pas réalisés.</w:t>
      </w:r>
    </w:p>
    <w:p>
      <w:r>
        <w:rPr>
          <w:b/>
        </w:rPr>
        <w:t>E. 5.2.1</w:t>
      </w:r>
    </w:p>
    <w:p>
      <w:r>
        <w:t>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 consid. 2 ; TF 6B_422/2019 et 6B_447/2019 du</w:t>
      </w:r>
    </w:p>
    <w:p>
      <w:r>
        <w:rPr>
          <w:b/>
        </w:rPr>
        <w:t>E. 5.2.2</w:t>
      </w:r>
    </w:p>
    <w:p>
      <w:r>
        <w:t>Selon l’art. 123 al. 1 CP, celui qui, intentionnellement, aura fait subir à une personne une autre atteinte à l’intégrité corporelle ou à la santé sera, sur plainte, puni d’une peine privative de liberté de trois ans au plus ou d’une peine pécuniaire.</w:t>
      </w:r>
    </w:p>
    <w:p>
      <w:r>
        <w:rPr>
          <w:b/>
        </w:rPr>
        <w:t>E. 5.3</w:t>
      </w:r>
    </w:p>
    <w:p>
      <w:r>
        <w:t>En l'espèce, les premiers juges ont considéré que les lésions subies par la plaignante devaient être qualifiées de graves en raison de l'ensemble des lésions subies, de l'incapacité de travail prolongée et des douleurs particulièrement intenses décrites par l’intéressée. Or les lésions constatées par le rapport du CURML ne sauraient être qualifiées de graves, puisque celui-ci ne fait état que d’une plaie au cuir chevelu et de diverses ecchymoses et dermabrasions (P. 13, p. 10). La principale conséquence de la lésion crânienne est esthétique la plaignante indiquant qu’elle prévoit une chirurgie reconstructrice capillaire (P. 33, p. 3). La contusion du corps du sternum avec petite fissuration sans signe d’effraction ou de disjonction costo-sternale diagnostiquée le 5 juin 2020 par le Dr [...] (P. 14/3), ainsi que les fractures-tassements du plateau supérieur de D5, D3 et D2 sans recul du mur postérieur diagnostiqués le 13 juillet 2020 par la Dresse [...] (P. 14/3) et le 23 juillet 2020 par le Dr [...] (P. 22/2), n’ont pas entraîné de traitement particulier ou de consultations ultérieures ; ces lésions semblent par ailleurs s’être résorbées puisque la physiothérapeute a indiqué, dans son rapport du 4 janvier 2021, qu’hormis des douleurs persistantes, elle avait pu constater une bonne évolution par rapport à la mobilité, à la tension musculaire et à la gestion de la respiration (P. 30). On ne peut donc pas considérer que ces lésions ont causé une incapacité de travail permanente. La plaignante fait valoir que le comportement de l’appelant a eu des conséquences extrêmement graves sur sa personnalité, à savoir a provoqué « un état de stress post-traumatique et un trouble majeur de l’adaptation avec humeur anxieuse et dépressive suite à l’agression » (P. 33, p. 4 et P. 30). Or il est constant que la plaignante souffrait d’un trouble psychique existant depuis plusieurs mois avant l’agression, puisqu’elle avait débuté un suivi le 8 janvier 2020 auprès du Dr [...], psychiatre et psychothérapeute FMH, en raison du deuil de son père et d’un déficit attentionnel. On ne peut donc faire aucun lien de causalité entre l’agression et les atteintes psychiques présentées. Enfin, la vie de la plaignante n’a pas été mise en danger et celle-ci n’a subi aucune infirmité ou maladie mentale permanentes. Vu les éléments qui précèdent, les lésions subies par la plaignante doivent être considérées comme des lésions corporelles simples. L’appelant sera par conséquent condamné à ce titre et libéré de l’infraction de lésions corporelles graves par dol éventuel.</w:t>
      </w:r>
    </w:p>
    <w:p>
      <w:r>
        <w:rPr>
          <w:b/>
        </w:rPr>
        <w:t>E. 6</w:t>
      </w:r>
    </w:p>
    <w:p>
      <w:r>
        <w:t>L’appelant ayant été condamné en première instance pour lésions corporelles graves, le Tribunal de police a prononcé son expulsion obligatoire du territoire suisse pour une durée de cinq ans conformément à l’art. 66a al. 1 let. b CP et considéré que la clause de rigueur ne s’appliquait pas dans son cas. Dès lors que l’appelant est en définitive condamné pour lésions corporelles simples et que cette infraction ne constitue pas un cas d’expulsion obligatoire au sens de l’art. 66a CP, ce point n’a plus à être examiné.</w:t>
      </w:r>
    </w:p>
    <w:p>
      <w:r>
        <w:rPr>
          <w:b/>
        </w:rPr>
        <w:t>E. 7.1</w:t>
      </w:r>
    </w:p>
    <w:p>
      <w:r>
        <w:t>Partant du principe que la plaignante n’a pas subi de lésions corporelles graves, l’appelant considère que la peine doit être « fortement revue à la baisse ».</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7.2.2</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Aux termes de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 TF 6B_1339/2016 du 23 mars 2017 consid. 1.1.2 ; TF 6B_1227/2015 du 29 juillet 2016 consid. 1.2.1).</w:t>
      </w:r>
    </w:p>
    <w:p>
      <w:r>
        <w:rPr>
          <w:b/>
        </w:rPr>
        <w:t>E. 7.3</w:t>
      </w:r>
    </w:p>
    <w:p>
      <w:r>
        <w:t>En l’espèce, la culpabilité du prévenu est relativement lourde. Il a agressé la plaignante pour un motif futile. Il persiste à nier être l’auteur des lésions corporelles objectivées par les médecins du CURML, alors que la nature de ces lésions démontre pourtant le contraire. Il est absolument insensible à la souffrance de sa victime, se permettant même d’en rire au cours de son audition du 17 juillet 2020 et encore de répéter que cela le fait sourire au cours de l’audience d’appel. A sa décharge, le conflit entre les parties date de bien avant l’événement du 17 mai 2020. Des motifs de prévention spéciale dictent par conséquent le prononcé d’un genre de peine dissuasif prenant la forme d’une peine privative de liberté. Procédant à sa propre appréciation, la Cour considère qu’une peine privative de liberté de 6 mois est adéquate. En dépit de son absence de prise de conscience, l’appelant a collaboré avec les forces de l’ordre et s’est déclaré prêt à ce que chacun reste chez soi et à ce que les rapports de voisinage soient bons (jugement, p. 6). Il a par ailleurs déclaré qu’il évitait désormais de croiser la plaignante (procès-verbal d’appel, p. 3). Il n’a pas récidivé en cours d’enquête. Le pronostic quant au comportement futur de l'appelant n'apparaissant donc pas entièrement défavorable, la peine privative de liberté de 6 mois sera assortie d’un sursis complet. Le délai d'épreuve sera fixé au minimum légal de 2 ans, dès lors que l’antécédent judiciaire date de 2014 et se situe dans un autre domaine (LCR). L’infraction d’injure, sanctionnée par une peine pécuniaire de 10 jours-amende à 30 fr. le jour, avec sursis pendant 2 ans, est adéquate et peut être confirmée.</w:t>
      </w:r>
    </w:p>
    <w:p>
      <w:r>
        <w:rPr>
          <w:b/>
        </w:rPr>
        <w:t>E. 8.1</w:t>
      </w:r>
    </w:p>
    <w:p>
      <w:r>
        <w:t>L’appelant soutient que la plaignante ne saurait se prévaloir d’une indemnité pour tort moral. Il considère que les lésions qu’elle a subies sont avant tout d’ordre esthétique et n’ont pas nécessité de consultation ultérieure, et que les lésions psychiques ne peuvent entrer en ligne de compte, dès lors que l’intéressée suivait un traitement psychiatrique au moment des faits.</w:t>
      </w:r>
    </w:p>
    <w:p>
      <w:r>
        <w:rPr>
          <w:b/>
        </w:rPr>
        <w:t>E. 8.2</w:t>
      </w:r>
    </w:p>
    <w:p>
      <w:r>
        <w:t>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w:t>
      </w:r>
    </w:p>
    <w:p>
      <w:r>
        <w:rPr>
          <w:b/>
        </w:rPr>
        <w:t>E. 8.3</w:t>
      </w:r>
    </w:p>
    <w:p>
      <w:r>
        <w:t>En l’espèce, au regard des lésions corporelles et des douleurs subies par la plaignante, de l’absence totale de reconnaissance par l’appelant de la souffrance de sa victime et du désarroi ressenti par celle-ci, l’indemnité en tort moral allouée par le premier juge à hauteur de 8'000 fr. est adéquate et doit être confirmée.</w:t>
      </w:r>
    </w:p>
    <w:p>
      <w:r>
        <w:rPr>
          <w:b/>
        </w:rPr>
        <w:t>E. 9</w:t>
      </w:r>
    </w:p>
    <w:p>
      <w:r>
        <w:t>En définitive, l'appel de X.________ doit être partiellement admis et le jugement entrepris réformé dans le sens des considérants qui précèdent. Me Yann Oppliger a produit une liste d'opérations indiquant 24h20 d’activité effectuée par l’avocat-stagiaire Me Lino Maggioni (audience d’appel incluse) et 25 min. d’activité effectuée par lui-même. Concernant Me Maggioni, il faut retrancher 5h sur les 9h30 annoncées pour la préparation de l’audience, qui paraissent excessives. Par conséquent, il sera retenu 19h20 d'activité au tarif horaire de 110 fr. (art. 2 al. 1 let. b et 3 al. 1 RAJ [règlement sur l'assistance judiciaire en matière civile du 7 décembre 2010 ; BLV 211.02.3] par renvoi de l'art. 26b TFIP [tarif des frais de procédure et indemnités en matière pénale du 28 septembre 2010 ; BLV 312.03.1]), 2 % pour les débours forfaitaires (art. 3bis al. 1 RAJ par renvoi de l’art. 26b TFIP), soit 42 fr. 50, 80 fr. pour la vacation de l'audience d'appel (art. 3bis al. 3 RAJ par renvoi de l’art. 26b TFIP) et 7,7 % de TVA sur le tout, de sorte que l'indemnité est arrêtée à 2'422 fr. 40. Concernant Me Oppliger, il sera retenu 25 min. d’activité au tarif horaire de 180 fr. (art. 2 al. 1 let. a RAJ par renvoi de l’art. 26b TFIP), 2 % pour les débours forfaitaires, soit 1 fr. 50, et 7,7 % de TVA sur le tout, soit une indemnité de 82 fr. 40. Au total, l’indemnité d’office s’élève à 2'504 fr. 80. Me Anne-Claire Boudry, conseil juridique gratuit de la plaignante, a produit une liste d'opérations indiquant 9h30 d'activité. Il faut retrancher 1h30 pour l’audience d’appel qui a été surévaluée et 30 min. pour la lecture du jugement, qui est considérée comme comprise dans la rubrique « opérations futures », indemnisée à hauteur d’une heure. Au tarif horaire de 180 fr., le défraiement s’élève à 1'350 fr., auquel il faut ajouter 2 % pour les débours, soit 27 fr., 120 fr. pour la vacation de l’audience d’appel et 7,7 % de TVA sur le tout, si bien que l’indemnité d’office est arrêtée au total à 1'612 fr. 25. Vu l’issue de la cause, les frais de la procédure d’appel, par 2’680 fr. (art. 21 al. 1 et 2 TFIP), l'indemnité du défenseur d'office de l'appelant, par 2'504 fr. 80, et l’indemnité du conseil juridique gratuit de la plaignante, par 1'612 fr. 25, soit au total 6'797 fr. 05, doivent être mis par moitié à la charge de l'appelant, le solde étant laissé à la charge de l'Etat (art. 428 al. 1 CPP). L'appelant ne sera tenu de rembourser à l’Etat la moitié de l’indemnité en faveur de son défenseur d’office et la moitié de l’indemnité en faveur du conseil juridique gratuit de la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