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380 vom 17. Mai 2021</w:t>
      </w:r>
    </w:p>
    <w:p>
      <w:r>
        <w:t>VD Tribunal cantonal, 2021-05-17, FR</w:t>
      </w:r>
    </w:p>
    <w:p>
      <w:r>
        <w:rPr>
          <w:b/>
        </w:rPr>
        <w:t xml:space="preserve">Quelle: </w:t>
      </w:r>
      <w:r>
        <w:t>https://mcp.opencaselaw.ch/entscheid/vd_findinfo_Jug___2021___380</w:t>
      </w:r>
    </w:p>
    <w:p>
      <w:r>
        <w:t>FR: VD_FINDINFO Jug / 2021 / 380 du 17 mai 2021</w:t>
      </w:r>
    </w:p>
    <w:p>
      <w:r>
        <w:t>IT: VD_FINDINFO Jug / 2021 / 380 del 17 maggio 2021</w:t>
      </w:r>
    </w:p>
    <w:p>
      <w:pPr>
        <w:pStyle w:val="Heading2"/>
      </w:pPr>
      <w:r>
        <w:t>Regeste</w:t>
      </w:r>
    </w:p>
    <w:p>
      <w:r>
        <w:t>CONTRAINTE{DROIT PÉNAL}, PRESSION, PROCÉDURE ÉCRITE, TENTATIVE DE SUICIDE, TENTATIVE{DROIT PÉNAL}, TENTATIVE{EN GÉNÉRAL} | 28 CC, 41 CO, 181 CP, 22 ad 181 CP, 22 CP, 34 CP, 42 al. 1 CP, 47 CP, 406 CPP</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de Y.________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L’appelant conteste sa condamnation pour tentative de contrainte. Il considère ne pas avoir menacé I.________ d’un dommage sérieux et avoir usé d’un moyen licite.</w:t>
      </w:r>
    </w:p>
    <w:p>
      <w:r>
        <w:rPr>
          <w:b/>
        </w:rPr>
        <w:t>E. 3.1</w:t>
      </w:r>
    </w:p>
    <w:p>
      <w:r>
        <w:t>Se rend coupable de contrainte au sens de l’art. 181 CP (Code pénal suisse du 21 décembre 1937 ; RS 311.0)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soit propre à entraver le destinataire dans sa liberté de décision ou d’action (ATF 120IV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consid. 3.3.1 ; ATF 134 IV 216 consid. 4.2 ;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illégitime constitue, au vu des circonstances, un moyen de pression abusif ou contraire aux mœurs (ATF 137 IV 326 consid. 3.3.1 ; ATF 134 IV 216 consid. 4.1 : ATF 120 IV 17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TF 6S.853/2000 du 9 mai 2001 et TF 6S.87411996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 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(TF 6B_54/2011 du 26 avril 2011). Lorsque la victime ne se laisse pas intimider et n'adopte pas le comportement voulu par l'auteur, ce dernier est punissable de tentative de contrainte (ATF 129 IV 262 ; ATF 106 IV 125 consid. 2b p. 129).</w:t>
      </w:r>
    </w:p>
    <w:p>
      <w:r>
        <w:rPr>
          <w:b/>
        </w:rPr>
        <w:t>E. 3.2</w:t>
      </w:r>
    </w:p>
    <w:p>
      <w:r>
        <w:t>Selon le chiffre 3 de l’acte d’accusation, dans un message envoyé le 22 avril 2020, Y.________ aurait tenté d’obtenir un retrait de plainte de la part de I.________, en lui écrivant que si tel n’était pas le cas, il la poursuivrait en justice pour la contrer.</w:t>
      </w:r>
    </w:p>
    <w:p>
      <w:r>
        <w:rPr>
          <w:b/>
        </w:rPr>
        <w:t>E. 3.2.1</w:t>
      </w:r>
    </w:p>
    <w:p>
      <w:r>
        <w:t>L’appelant conteste que le message envoyé puisse représenter une menace d’un dommage sérieux, au motif que chacun serait libre d’introduire une procédure, ce qui ne pourrait être assimilé à la menace de déposer une plainte pénale ou un commandement de payer. Il explique qu’il considérait que la plainte pénale déposée contre lui était abusive et qu’il voulait qu’elle soit retirée, respectivement qu’il voulait faire valoir que cette plainte était infondée par le biais d’une action en justice. L’intimée estime quant à elle que lorsque Y.________ lui a indiqué qu’il allait la poursuivre en justice pour la contrer, il lui serait apparu certain que le prénommé faisait allusion au dépôt d’une plainte pénale. Elle ajoute qu’une telle menace, alors qu’elle avait déposé plainte de bonne foi, constitue un moyen de pression abusif et rend ainsi le but de la démarche illicite.</w:t>
      </w:r>
    </w:p>
    <w:p>
      <w:r>
        <w:rPr>
          <w:b/>
        </w:rPr>
        <w:t>E. 3.2.2</w:t>
      </w:r>
    </w:p>
    <w:p>
      <w:r>
        <w:t>Avec l’appelant, il y a lieu de constater que le moyen utilisé n’est pas illicite. En effet, Y.________, qui considérait la plainte déposée par I.________ comme étant abusive, était en droit de lui signifier qu’il avait pris un avocat et qu’il entendait ainsi défendre ses droits. Le moyen utilisé demeure dans un rapport raisonnable avec le but visé et ne constitue dès lors pas un moyen de pression abusif, ce d’autant que l’appelant n’a finalement été condamné pour aucun des faits dénoncés par I.________ dans la cadre de la première plainte pénale. Bien fondé, le grief doit être admis et Y.________ doit être libéré du chef de prévention de tentative de contrainte en lien avec les faits décrits sous chiffre 3 de l’acte d’accusation.</w:t>
      </w:r>
    </w:p>
    <w:p>
      <w:r>
        <w:rPr>
          <w:b/>
        </w:rPr>
        <w:t>E. 3.3</w:t>
      </w:r>
    </w:p>
    <w:p>
      <w:r>
        <w:t>Selon le chiffre 4 de l’acte d’accusation, le 13 juillet 2020, Y.________ a tenté d’obtenir que I.________ retire sa plainte en postant un message à son intention sur le réseau social « Instagram », lequel avait pour teneur : « rien ne t’arrivera si tu ne me poursuis pas ».</w:t>
      </w:r>
    </w:p>
    <w:p>
      <w:r>
        <w:rPr>
          <w:b/>
        </w:rPr>
        <w:t>E. 3.3.1</w:t>
      </w:r>
    </w:p>
    <w:p>
      <w:r>
        <w:t>L’appelant soutient que ce message ne pourrait être interprété comme la menace d’un dommage sérieux, qu’il signifiait uniquement que la plaignante pouvait retirer sa plainte sans craindre qu’il ne lui réclame ensuite quoique ce soit et que le moyen utilisé n’était pas illicite. L’intimée estime pour sa part évident que Y.________ a posté le message dans le but de l’apeurer et qu’elle retire sa plainte, la menaçant du fait qu’il arriverait quelque chose si elle n’agissait pas de la sorte. Elle considère que l’appelant était certainement conscient du fait que ledit message laissait entendre que quelque chose de grave pourrait lui arriver et qu’un tel post sur un réseau social aurait pu engendrer une crainte réelle chez n’importe quelle personne raisonnable.</w:t>
      </w:r>
    </w:p>
    <w:p>
      <w:r>
        <w:rPr>
          <w:b/>
        </w:rPr>
        <w:t>E. 3.3.2</w:t>
      </w:r>
    </w:p>
    <w:p>
      <w:r>
        <w:t>Le message litigieux comporte clairement une menace, à savoir qu’il risquerait d’arriver quelque chose d’évidemment négatif à l’intimée si elle maintenait sa plainte. On ne peut pas interpréter ce message comme indiqué par l’appelant. Il faut également remettre ce message dans le contexte, à savoir que l’appelant avait déjà écrit à l’intimée des lettres lui signifiant, selon lui, qu’elle était une amie importante, alors qu’elle ne voulait pas de contact avec lui, qu’il a publié une photo appartenant à l’intimée sur « Instagram » et qu’il a créé des comptes ne dévoilant pas son identité sur les réseaux sociaux pour entrer en contact avec elle, éléments qui sont tous admis par l’appelant lui-même (cf. PV aud. 3, p. 6). On peut également relever que lors de sa première audition au sujet du message litigieux, Y.________ a affirmé qu’il n’était pas destiné à I.________, mais à deux amis à lui (cf. PV aud. 4, p. 4). Cette explication n’est pas crédible. Le moyen utilisé est illicite. En définitive, toutes les conditions de la contrainte sont réalisées.</w:t>
      </w:r>
    </w:p>
    <w:p>
      <w:r>
        <w:rPr>
          <w:b/>
        </w:rPr>
        <w:t>E. 4</w:t>
      </w:r>
    </w:p>
    <w:p>
      <w:r>
        <w:t>L’appelant qui a conclu à son acquittement considère au demeurant que la peine prononcée serait excessive.</w:t>
      </w:r>
    </w:p>
    <w:p>
      <w:r>
        <w:rPr>
          <w:b/>
        </w:rPr>
        <w:t>E. 4.1.1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4.1.2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134 IV 97 consid. 4.2).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ATF 137 II 297 consid. 2.3.4; ATF 134 IV 97 consid. 4.2).</w:t>
      </w:r>
    </w:p>
    <w:p>
      <w:r>
        <w:rPr>
          <w:b/>
        </w:rPr>
        <w:t>E. 4.1.3</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 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4.1.4</w:t>
      </w:r>
    </w:p>
    <w:p>
      <w:r>
        <w:t>L’art. 181 CP dispose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4.2</w:t>
      </w:r>
    </w:p>
    <w:p>
      <w:r>
        <w:t>A l’instar du premier juge, une peine pécuniaire apparaît en l’espèce suffisante pour sanctionner le comportement de Y.________. Désormais, seule la tentative de contrainte du 13 juillet 2020 entre en ligne de compte pour déterminer la culpabilité du prénommé et la peine adéquate, qui ne revêt plus de caractère complémentaire au sens de l’art. 49 al. 2 CP dès lors que les faits en cause sont postérieurs à ceux réprimés par le Ministère public du canton de Genève dans son ordonnance du 7 mai 2020. La prise de conscience de l’intéressé sur les conséquences de ses agissements vis-à-vis de I.________ est moindre, si ce n’est nulle. A ce jour encore, il ne conçoit pas avoir pu susciter de l’inquiétude chez celle qui lui avait pourtant assez clairement signifié à maintes reprises et par divers biais qu’elle ne souhaitait entretenir aucun contact avec lui. Plus regrettable encore, il se complaît dans des explications qui, tout en ne convainquant guère, frisent la mauvaise foi, et affirme qu’il n’avait aucun dessein d’influer sur le comportement de la plaignante. La sanction adéquate pour ces faits est de trente jours. Au vu de la situation financière du prévenu, précaire, le montant dû par jour sera arrêté à 20 francs. Considérant l’antécédent unique de Y.________, la nature de l’affaire et la personnalité du prénommé, aucun élément ne permet de poser d’emblée un pronostic défavorable. Les conditions de l’octroi du sursis apparaissent en conséquence réalisées, de telle sorte qu’il lui sera accordé. Le sursis accordé par le premier juge, ainsi que sa durée, doivent être confirmés, le prévenu remplissant les conditions de l’art. 42 CP et un délai d’épreuve de trois ans apparaissant nécessaire et adéquat pour dissuader l’intéressé de commettre de nouvelles infractions à l’avenir.</w:t>
      </w:r>
    </w:p>
    <w:p>
      <w:r>
        <w:rPr>
          <w:b/>
        </w:rPr>
        <w:t>E. 5</w:t>
      </w:r>
    </w:p>
    <w:p>
      <w:r>
        <w:t>L’appelant conteste la mise à sa charge de l’entier des frais de la cause ainsi que de l’indemnité pour les dépenses obligatoires de la partie plaignante.</w:t>
      </w:r>
    </w:p>
    <w:p>
      <w:r>
        <w:rPr>
          <w:b/>
        </w:rPr>
        <w:t>E. 5.1.1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w:t>
      </w:r>
    </w:p>
    <w:p>
      <w:r>
        <w:rPr>
          <w:b/>
        </w:rPr>
        <w:t>E. 5.1.2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6B_180/2019 du 17 février 2020 consid. 2 ; TF 6B_7/2020 du 17 février 2020 consid. 5.1). Dans cette mesure, la décision sur les frais préjuge sur la question de l’indemnisation (ATF 145 IV 268 consid. 1.2).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5.2</w:t>
      </w:r>
    </w:p>
    <w:p>
      <w:r>
        <w:t>L’appelant est finalement condamné pour une seule tentative de contrainte, sur les quatre pour lesquelles il était renvoyé selon l’acte d’accusation du 17 février 2021. On doit toutefois admettre que l’ensemble de son comportement tel que dépeint dans l’acte d’accusation notamment présente un caractère attentatoire à la personnalité de I.________ – et constitue dès lors une violation de l’art. 28 CC (Code civil suisse du 10 décembre 1907 ; RS 210) et donc une violation d’une norme de comportement au sens de l’art. 41 CO (TF 6B_1395/2017 du 30 mai 2018, consid. 2.2 ; TF 6B_966/2015 du 3 juin 2016 consid. 6.3). En effet, le prévenu a contacté la prénommée le 5 mars 2017 via « Snapchat », il a remis une lettre au frère de la plaignante en octobre 2018, il a publié diverses photographies sur son compte « Instagram » en avril 2019 qui faisaient références à la précitée, ou à la relation qu’il se figurait avoir entretenue avec elle. Il a en outre envoyé à la plaignante en juillet 2019 sa photo de profil « WhatsApp », il l’a contactée le 2 décembre 2019 via un nouveau compte « Instagram », a visionné les playlists la plaignante sur « Spotify » et lui a envoyé un message le 12 décembre 2019. I.________, quant à elle, a toujours refusé ces contacts, n’y a pas répondu et a bloqué l’appelant, qui a toutefois persisté, malgré une situation de refus clairement compréhensible. Manifestement perturbée par de tels agissements, la jeune femme a développé des habitudes – dormir avec la porte de sa chambre fermée à clef, contact téléphonique systématique lorsqu’elle rentrait seule le soir – qui n’étaient pas siennes avant que Y.________ s’en prenne à elle. L’atteinte civile est manifeste. De surcroît, le comportement du précité est en lien de causalité avec l’ouverture de l’enquête pénale et, partant, avec les frais litigieux. Par son attitude fautive et frisant le harcèlement, l’appelant a été à l’origine de l’action pénale – seul échappatoire que I.________ a trouvé pour que cessent les prises de contact non-désirées. Partant, c’est à juste titre que le premier juge a mis à la charge de l’appelant l’entier des frais de procédure. Aucune indemnité au sens de l’art.429 CPP ne saurait lui être allouée, et il doit être astreint au versement de dépens au sens de l’art. 433 CPP.</w:t>
      </w:r>
    </w:p>
    <w:p>
      <w:r>
        <w:rPr>
          <w:b/>
        </w:rPr>
        <w:t>E. 6</w:t>
      </w:r>
    </w:p>
    <w:p>
      <w:r>
        <w:t>L’appelant conteste l’indemnité pour tort moral allouée à la plaignante.</w:t>
      </w:r>
    </w:p>
    <w:p>
      <w:r>
        <w:rPr>
          <w:b/>
        </w:rPr>
        <w:t>E. 6.1</w:t>
      </w:r>
    </w:p>
    <w:p>
      <w:r>
        <w:t>A teneur de l’art. 49 CO (Loi fédérale complétant le Code civil suisse, livre cinquième : Droit des obligations ; RS 220),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Le premier juge a constaté que I.________ était fortement perturbée par le comportement de Y.________. On comprend notamment à la lecture du procès-verbal d’audition de première instance qu’elle a réellement peur de l’appelant et qu’elle a été fortement touchée par le comportement de celui-ci. En conséquence, il convient de confirmer le montant de 500 fr. alloué à I.________ en réparation du tort moral subi.</w:t>
      </w:r>
    </w:p>
    <w:p>
      <w:r>
        <w:rPr>
          <w:b/>
        </w:rPr>
        <w:t>E. 7</w:t>
      </w:r>
    </w:p>
    <w:p>
      <w:r>
        <w:t>En conclusion, l’appel doit être partiellement admis et le jugement réformé au chiffre III de son dispositif dans le sens des considérants qui précèdent. Me Séverine Berger, défenseur d’office, a droit à une indemnité pour la procédure d’appel (art. 422 al. 1 et al. 2 let. a CPP). Elle a produit une liste des opérations (P. 68) dont il n’y a pas lieu de s’écarter. C’est ainsi une indemnité d’un montant de 1'021 fr. 65, correspondant à 5 heures et 10 minutes de travail d’avocat au tarif horaire de 180 fr., par 930 fr., aux débours forfaitaires à concurrence de 2% (art. 3 bis al. 1 RAJ [règlement sur l’assistance judiciaire en matière civile du 7 décembre 2010 ; BLV 211.02.3], applicable par renvoi de l’art. 26b TFIP [tarif des frais de procédure et indemnités en matière pénale du 28 septembre 2010 ; BLV 312.03.1]), par 18 fr. 60, et à la TVA, par 73 fr. 05, qui sera allouée à Me Séverine Berger. Vu l’issue de la cause, les frais de la procédure d'appel, par 2'561 fr. 65, constitués en l’espèce de l’émolument de jugement, par 1’540 fr. (art. 21 al. 1 TFIP), ainsi que de l’indemnité allouée au défenseur d’office, par 1'021 fr. 65, seront mis par moitié, soit par 1'335 fr. 85 à la charge de Y.________, le solde étant laissé à la charge de l’Etat (art. 428 al. 1 CPP). Le remboursement à l’Etat de la moitié de l’indemnité de défenseur d’office mentionnée ci-dessus ne sera exigé de Y.________ que si sa situation financière le permet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