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372 vom 16. Februar 2021</w:t>
      </w:r>
    </w:p>
    <w:p>
      <w:r>
        <w:t>VD Tribunal cantonal, 2021-02-16, FR</w:t>
      </w:r>
    </w:p>
    <w:p>
      <w:r>
        <w:rPr>
          <w:b/>
        </w:rPr>
        <w:t xml:space="preserve">Quelle: </w:t>
      </w:r>
      <w:r>
        <w:t>https://mcp.opencaselaw.ch/entscheid/vd_findinfo_Jug___2021___372</w:t>
      </w:r>
    </w:p>
    <w:p>
      <w:r>
        <w:t>FR: VD_FINDINFO Jug / 2021 / 372 du 16 février 2021</w:t>
      </w:r>
    </w:p>
    <w:p>
      <w:r>
        <w:t>IT: VD_FINDINFO Jug / 2021 / 372 del 16 febbraio 2021</w:t>
      </w:r>
    </w:p>
    <w:p>
      <w:pPr>
        <w:pStyle w:val="Heading2"/>
      </w:pPr>
      <w:r>
        <w:t>Regeste</w:t>
      </w:r>
    </w:p>
    <w:p>
      <w:r>
        <w:t>IN DUBIO PRO REO, MISE EN DANGER DE LA VIE D'AUTRUI{ART. 129 CP}, DÉLIT DE CHAUFFARD, CONCOURS D'INFRACTIONS, ADMISSION PARTIELLE, FIXATION DE LA PEINE, PEINE COMPLÉMENTAIRE, RESPONSABILITÉ{DROIT PÉNAL}, ATTÉNUATION DE LA PEINE | 129 CP, 19 al. 2 CP, 47 CP, 49 CP, 90 al. 3 LCR, 10 CPP (CH)</w:t>
      </w:r>
    </w:p>
    <w:p>
      <w:pPr>
        <w:pStyle w:val="Heading2"/>
      </w:pPr>
      <w:r>
        <w:t>Erwägungen</w:t>
      </w:r>
    </w:p>
    <w:p>
      <w:r>
        <w:rPr>
          <w:b/>
        </w:rPr>
        <w:t>E. 5.1</w:t>
      </w:r>
    </w:p>
    <w:p>
      <w:r>
        <w:t>Enfin, l’appelant conteste la peine infligée.</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w:t>
      </w:r>
    </w:p>
    <w:p>
      <w:r>
        <w:rPr>
          <w:b/>
        </w:rPr>
        <w:t>E. 5.2.3</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6B_144/2019 du 17 mai 2019 consid. 4.3.1).</w:t>
      </w:r>
    </w:p>
    <w:p>
      <w:r>
        <w:rPr>
          <w:b/>
        </w:rPr>
        <w:t>E. 5.2.4</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précité, consid. 5.6). En présence d'une diminution de responsabilité pénale, le juge doit ainsi procéder comme il suit.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précité, consid. 5.7).</w:t>
      </w:r>
    </w:p>
    <w:p>
      <w:r>
        <w:rPr>
          <w:b/>
        </w:rPr>
        <w:t>E. 5.3</w:t>
      </w:r>
    </w:p>
    <w:p>
      <w:r>
        <w:t>En l’espèce, R.________ doit répondre, s’agissant d’infractions passibles d’une peine privative de liberté, de 4 conduites sans permis (art. 95 LCR), de 6 vols d’usage (art. 94 al. 1 LCR), de 2 tentatives de vol d’usage, d’une violation grave des règles de la circulation routière (art. 90 al. 2 LCR) et de 2 violations graves qualifiées des règles de la circulation routière (art. 90 al. 3 LCR « délit de chauffard ») commises dans le cadre de courses-poursuites avec la police – dont l’une en pleine ville et l’autre sur un long trajet (environ 24 km) – au cours desquelles il a mis en danger les autres usagers de la route en raison de la vitesse (plus de 200 km/h sur l’autoroute, notamment), des dépassements sur l’autoroute sans éclairage et du cumul d’infractions routières, de 8 vols et de 2 tentatives de vol (vols de véhicules ou dans des véhicules, dans des magasins ou par effraction dans des locaux), de 5 violations de domicile, de menaces, de dommages à la propriété commises à 6 reprises, ainsi que d’incendie intentionnel de peu d’importance pour avoir mis le feu à sa cellule lorsqu’il séjournait aux [...]. Le choix d’une peine privative de liberté comme genre de peine s’impose pour des raisons évidentes de prévention spéciale pour chacune de ces infractions, et n’est au demeurant pas remis en cause par l’appelant. Les antécédents sont accablants et la culpabilité lourde, s’agissant d’un multirécidiviste en matière de circulation routière qui s’obstine à conduire – qui plus est sans permis –, tant sur l’autoroute qu’en pleine ville, sans la moindre considération pour la sécurité des autres, et qui cumule notamment des infractions contre le patrimoine. Les éléments à charge et à décharge ainsi que les circonstances personnelles du prévenu ont été prises en compte de manière adéquate par les premiers juges. Partant, il suffit de se référer aux motifs du jugement à cet égard. On soulignera en outre que le prévenu a, depuis le jugement précité, continué à cumuler des sanctions disciplinaires en prison, la dernière en date du 2 août 2021 (P. 128/1 et 130), tout en prétendant, à l’audience d’appel, que sa détention se passe « bien » (p. 3 supra ). Par ailleurs, le tribunal, qui a considéré que l a faute, qualifiée de très lourde, devait être tempérée par la légère diminution de responsabilité résultant de l’expertise, même si cette légère diminution était contrebalancée par la récidive et le concours d’infraction, a appliqué correctement les critères dégagés par la jurisprudence lorsqu’il s’agit de fixer une peine en cas de diminution de responsabilité pénale de l’auteur, tels que rappelés ci-avant (consid. 5.2.3 supra ). On relèvera d’ailleurs à cet égard que l’appelant a déclaré ne pas se reconnaître dans l’expertise psychiatrique, que les experts avaient « un peu exagéré dans leur rapport en évoquant la psychopathie » et qu’il ne voyait pas la nécessité de suivre un traitement médicamenteux (p. 3 supra ), contrairement à ce qui avait été préconisé, ce qui relativise encore davantage l’effet de la diminution de la responsabilité sur l'appréciation de la faute, au vu de la personnalité de l’intéressé. Procédant à sa propre appréciation, la Cour considère, s’agissant des infractions (cas 1 à 3) commises par R.________ avant sa condamnation à 6 mois de privation de liberté prononcée le 7 avril 2020 par le Ministère public de Fribourg pour brigandage et complicité de vol, que la violation grave qualifiée des règles de la circulation routière (cas 3) constitue l’infraction la plus grave, l’art. 90 al. 3 LCR imposant une peine privative de liberté de 12 mois au minimum. Cette infraction doit, en l’espèce, être sanctionnée d’une peine de 15 mois, tant les risques routiers insensés pris pour échapper à la police, notamment sur un tronçon d’autoroute de plus de 20 km, ont été très importants et dangereux pour les tiers. Les deux vols d’usage de véhicules, dont l’un ayant servi au délit de chauffard précité, valent chacun, par l’effet du concours, une augmentation de 30 jours. Les conduites sans permis, qui ont eu lieu dans les mêmes circonstances que les vols d’usage, conduisent encore à une augmentation de 2 mois (2 x 30 jours). Enfin, la tentative de vol d’usage du 29/30 mars 2020 (cas 2) et les dommages à la propriété commis à cette occasion dans le but d’utiliser l’engin en question valent un mois de plus. Comme il s’agit de prononcer une peine d’ensemble incluant celle prononcée le</w:t>
      </w:r>
    </w:p>
    <w:p>
      <w:r>
        <w:rPr>
          <w:b/>
        </w:rPr>
        <w:t>E. 5.4</w:t>
      </w:r>
    </w:p>
    <w:p>
      <w:r>
        <w:t>Conformément à l’art. 51 CP, la détention subie par R.________ depuis le jugement de première instance sera déduite de la peine privative de liberté prononcée. Le maintien en détention pour des motifs de sûreté de l’appelant sera en outre ordonné pour garantir l’exécution de la peine prononcée, vu le risque de réitération qu’il présente (art. 221 al. 1 let. c CPP). 6. En définitive, l’appel de R.________ doit être très partiellement admis et le jugement entrepris modifié aux chiffres I et II de son dispositif en ce sens que le prévenu est libéré du chef de prévention de mise en danger de la vie d’autrui (cf. consid. 4.3 supra ). Au vu de la liste d’opérations produite par Me Raphaël Brochellaz, défenseur d’office de R.________, dont il n’y a pas lieu de s’écarter, c’est une indemnité de 2'973 fr. 70 , TVA et débours inclus, qui doit lui être allouée. Vu l’issue de la cause, les frais de la procédure d’appel, par 7'083 fr. 70, constitués en l’espèce de l’émolument de jugement et d’audience, par 4'110 fr. (art. 422 al. 1 CPP; 21 al. 1 et 2 TFIP), et de l’indemnité allouée au défenseur d’office, par 2'973 fr. 70, seront mis par 3/4, soit par 5'312 fr. 80, à la charge de R.________, qui obtient très partiellement gain de cause (art. 428 al. 1 CPP), le solde étant laissé à la charge de l’Etat. R.________ ne sera tenu de rembourser les 3/4 de l’indemnité allouée à son défenseur d’office mise à sa charge que lorsque sa situation financière le permettra (art. 135 al. 4 let. a CPP).</w:t>
      </w:r>
    </w:p>
    <w:p>
      <w:r>
        <w:rPr>
          <w:b/>
        </w:rPr>
        <w:t>E. 7</w:t>
      </w:r>
    </w:p>
    <w:p>
      <w:r>
        <w:t>avril 2020, force est de constater que la peine fixée à l’époque aurait été de 26 mois si le Ministère public avait eu connaissance de ces diverses infractions. La peine complémentaire est donc effectivement de 20 mois. Concernant les infractions commises postérieurement à la condamnation de 2020, la violation grave qualifiée des règles de la circulation routière (art. 90 al. 3 LCR) est, là aussi, pour les motifs déjà exposés, l’infraction la plus grave et impose, au vu de la gravité des circonstances, une peine de base de 15 mois, la course-poursuite s’étant déroulée en zone urbaine, en plein jour, au cours de laquelle l’intéressé a notamment failli renverser successivement trois piétons. On l’augmentera de 5 mois pour l’infraction à l’art. 90 al. 2 LCR – commise à peine une semaine plus tard (cas 24) –, compte tenu du comportement routier adopté par l’appelant dans le but de « semer » la patrouille de police qu’il venait de croiser. Les 4 vols d’usage, dont deux (cas 17 et 24) ayant servi à commettre les infractions à l’art. 90 al. 2 et 3 LCR précitées, méritent 4 mois supplémentaires (1 mois pour les cas 6 et 9 et 2 mois pour les cas 17 et 24), les 2 conduites sans permis qui ont eu lieu dans ces deux derniers cas, une majoration de 2 mois, les</w:t>
      </w:r>
    </w:p>
    <w:p>
      <w:r>
        <w:rPr>
          <w:b/>
        </w:rPr>
        <w:t>E. 8</w:t>
      </w:r>
    </w:p>
    <w:p>
      <w:r>
        <w:t>vols un surplus de 4 mois (8 x 0,5 mois), les 5 violations de domicile une augmentation de 2,5 mois (5 x 0,5 mois) et les dommages à la propriété commis à 5 reprises, d’une gravité équivalente, un supplément de 2,5 mois également (5 x 0,5). Les menaces proférées par le prévenu alors qu’il se faisait déloger de l’appartement dans lequel il s’était introduit – pour la deuxième fois – sans droit (cas 5), valent 1 mois supplémentaire et l’incendie intentionnel de peu d’importance 1 mois de plus également. Enfin, les 2 tentatives de vol et la tentative de vol d’usage justifient encore une augmentation d’un mois, ce qui fait bel et bien un total de 38 mois. La peine d’ensemble prononcée, de 58 mois de privation de liberté (20 mois + 38 mois), peine partiellement complémentaire à celle prononcée le 7 avril 2020 par le Ministère public du canton de Fribourg, est ainsi adéquate et peut être confirmée. On relèvera à cet égard que l’abandon de l’infraction à l’art. 129 CP, retenu par les premiers juge en concours réel avec l’infraction à l’art. 90 al. 3 LCR pour le cas 20, ne change rien à la culpabilité de l’appelant, cela en raison de la gravité des faits – du reste admis – et compte tenu du fait que la juridiction d’appel fixe à nouveau la peine en procédant à sa propre appréciation . La peine pécuniaire ainsi que l’amende ne sont quant à elles pas contestées et doivent dès lors être confirmées. Comme la peine est confirmée, le sursis, même partiel, n’entre de toute manière pas en considération (cf. art. 43 al. 1 CP), ce qui n’est d’ailleurs pas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