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369 vom 27. Juni 2008</w:t>
      </w:r>
    </w:p>
    <w:p>
      <w:r>
        <w:t>VD Tribunal cantonal, 2008-06-27, FR</w:t>
      </w:r>
    </w:p>
    <w:p>
      <w:r>
        <w:rPr>
          <w:b/>
        </w:rPr>
        <w:t xml:space="preserve">Quelle: </w:t>
      </w:r>
      <w:r>
        <w:t>https://mcp.opencaselaw.ch/entscheid/vd_findinfo_Jug___2021___369</w:t>
      </w:r>
    </w:p>
    <w:p>
      <w:r>
        <w:t>FR: VD_FINDINFO Jug / 2021 / 369 du 27 juin 2008</w:t>
      </w:r>
    </w:p>
    <w:p>
      <w:r>
        <w:t>IT: VD_FINDINFO Jug / 2021 / 369 del 27 giugno 2008</w:t>
      </w:r>
    </w:p>
    <w:p>
      <w:pPr>
        <w:pStyle w:val="Heading2"/>
      </w:pPr>
      <w:r>
        <w:t>Regeste</w:t>
      </w:r>
    </w:p>
    <w:p>
      <w:r>
        <w:t>RÉCUSATION, RÉVISION{DÉCISION}, DÉCISION D'IRRECEVABILITÉ | 410 al. 1 let. a CPP (CH), 412 al. 2 CPP (CH)</w:t>
      </w:r>
    </w:p>
    <w:p>
      <w:pPr>
        <w:pStyle w:val="Heading2"/>
      </w:pPr>
      <w:r>
        <w:t>Erwägungen</w:t>
      </w:r>
    </w:p>
    <w:p>
      <w:r>
        <w:rPr>
          <w:b/>
        </w:rPr>
        <w:t>E. 1.1</w:t>
      </w:r>
    </w:p>
    <w:p>
      <w:r>
        <w:t>A.F.________ requiert que la composition de la Cour lui soit communiquée afin qu’il puisse exercer, le cas échéant, son droit de récusation, tout en récusant d’emblée l’ensemble des magistrats ayant eu à traiter de son dossier, dont les trois juges ayant rejeté ses précédentes demandes de révision. Il voit dans le rejet de ses requêtes un motif de prévention à son égard,</w:t>
      </w:r>
    </w:p>
    <w:p>
      <w:r>
        <w:rPr>
          <w:b/>
        </w:rPr>
        <w:t>E. 1.2.1</w:t>
      </w:r>
    </w:p>
    <w:p>
      <w:r>
        <w:t>Selon la jurisprudence relative à l'art. 30 al. 1 Cst., le juge dont la récusation est demandée ne devrait pas participer à la décision à rendre à ce sujet (ATF 122 Il 471 consid. 2b). Toutefois, une exception à ce principe est admise, en ce sens qu'une autorité dont la récusation est demandée en bloc peut écarter elle-même la requête lorsque celle-ci est abusive ou manifestement mal fondée, alors même que cette décision incomberait, selon la loi de procédure applicable, à une autre autorité (ATF 129 III 445 consid. 4.2.2; TF 6B_410/2011 du 5 décembre 2011 consid. 1; TF 1B_146/2010 du 23 juin 2010 consid. 2.1; CREP 20 novembre 2012/802; CA 21 août 2012/29).</w:t>
      </w:r>
    </w:p>
    <w:p>
      <w:r>
        <w:rPr>
          <w:b/>
        </w:rPr>
        <w:t>E. 1.2.2</w:t>
      </w:r>
    </w:p>
    <w:p>
      <w:r>
        <w:t>La jurisprudence considère que la garantie du juge impartial ne commande pas la récusation d'un juge au simple motif qu'il aurait, dans une procédure antérieure, tranché en défaveur du recourant (ATF 129 III 445 consid. 4.2.2.2, p. 466; TF 6B_621/2011 du 19 décembre 2011 consid. 2.4.1 et arrêts cités). Dans un tel cas, il faut au contraire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L'issue de la cause doit demeurer indécise quant à la constatation des faits et la résolution des questions juridiques (ATF 131 I 113 consid. 3.4 et les références citées; ATF 131 I 24 consid. 1.2; également ATF 133 I 89 consid. 3.2).</w:t>
      </w:r>
    </w:p>
    <w:p>
      <w:r>
        <w:rPr>
          <w:b/>
        </w:rPr>
        <w:t>E. 1.3</w:t>
      </w:r>
    </w:p>
    <w:p>
      <w:r>
        <w:t>En l’espèce, A.F.________ n’expose pas d’autres éléments que le fait que la composition de la présente Cour est susceptible d’être identique à celle ayant rejeté ses précédentes demandes de révision. Or, un tel motif ne justifie pas une récusation, et le requérant le sait. En effet, les garanties constitutionnelles et légales n’obligent pas les juges de céans à se récuser lorsqu’une nouvelle demande de révision est soumise au Tribunal cantonal (cf. CAPE 1 er juin 2017/233 consid. 1.3; CAPE 10 avril 2017/162 consid. 1.4 et les références citées). Pour le surplus, on rappellera que les parties intimées ne sont associées à la procédure que si la Cour entre en matière sur la demande de révision. Or, pour procéder à cet examen, il faut composer une Cour, dont la composition, à ce stade, n’a pas à être communiquée à toutes les parties. Il s’agit ainsi de la procédure usuelle et non de l’indice d’une quelconque prévention à l’égard du requérant. Il s’ensuit que la requête tendant à la communication de la composition de la Cour appelée à statuer sur la requête de révision de A.F.________ du 23 septembre 2021, tout comme la demande de récusation elle-même, est manifestement mal fondée et doit d’emblée être rejetée. II. Examen des motifs de révision</w:t>
      </w:r>
    </w:p>
    <w:p>
      <w:r>
        <w:rPr>
          <w:b/>
        </w:rPr>
        <w:t>E. 2.1</w:t>
      </w:r>
    </w:p>
    <w:p>
      <w:r>
        <w:t>Dans un premier moyen, A.F.________ soutient que les propos du Procureur général à l’écrivain Michel Bory démontrent qu’il a été condamné sur la base d’« images de flashes » et non sur des preuves. A cet égard, A.F.________ se réfère à certains passages figurant aux pages 106, 107 et 218 du livre intitulé « Le triple crime de Vevey », publié en 2012 par Michel Bory. Les propos tenus par Procureur général et retranscrits par l’écrivain sont les suivants : En page 106 : « Il est vrai que j’ai un point de départ certain : l’arrivée de A.F.________ à la maison. J’ai un point d’arrivée tout aussi certain : ce sont les deux vieilles dames mortes au pied de l’escalier. Et la disparition de C.F.________, dont je tiens aussi la mort pour absolument certaine. A partir de là, c’est vrai que, entre ce point A et ce point B, il n’y a que quelques minuscules « photos » partielles, des flashes. (…) Tout cela permet de visualiser un certain nombre de flashes qui attestent que les ciseaux ont été à un moment donné un lien physique entre B.F.________ et A.F.________. Elle les a en mains, lui est à l’autre bout, du côté des lames. Ça, c’est quand même une image assez déterminante. (…) La version que j’ai proposée au tribunal, c’est une version possible du déroulement des faits entre A et B. » En page 107 : « Jusqu’où est-il venu en voiture dans le quartier ? Est-ce qu’il est arrivé par le jardin, est-ce qu’il est arrivé par le chemin ? Je n’en sais franchement rien. » En page 218 : « Quand vous (ndr : les jurés) aurez acquis votre conviction qu’il a tué, vous pourriez vous arrêtez là, sans besoin d’en savoir davantage, sans décrire des choses qui ne se sont pas passées exactement comme ça. »</w:t>
      </w:r>
    </w:p>
    <w:p>
      <w:r>
        <w:rPr>
          <w:b/>
        </w:rPr>
        <w:t>E. 2.2.1</w:t>
      </w:r>
    </w:p>
    <w:p>
      <w:r>
        <w:t>Aux termes de l'art. 453 al. 1 CPP (Code de procédure pénale suisse du 5 octobre 2007; RS 312.0), les recours formés contre les décisions rendues avant l'entrée en vigueur du présent code sont traités selon l'ancien droit par les autorités compétentes sous l'empire de ce droit. Cette disposition vise également la révision, que le code classe parmi les voies de recours. Lorsqu'une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 (TF 6B_41/2012 du 28 juin 2012 consid. 1.1; Schmid, Schweizerische Strafprozessordnung, Praxiskommentar, 3 e éd., Zurich/Saint-Gall 2018, n. 2 in fine ad art. 453 CPP; Lieber, in : Donatsch/ Hansjakob/Lieber [éd.], Kommentar zur Schweizerischen Strafprozessordnung, Zurich/Bâle/Genève 2020, n. 5 ad art. 453 CPP). Cette réserve est toutefois sans portée en l’espèce, dès lors que, s’agissant d’une révision en faveur du condamné, le motif de révision prévu à l’art. 410 al. 1 let. a CPP correspond à celui de l’art. 385 CP (Code pénal du 21 décembre 1937; RS 311.0), qui n’a d’ailleurs formellement pas été abrogé (cf. Fingerhuth, in : Donatsch/Hansjakob/Lieber [éd.], op. cit., n. 1 ad art. 410 CPP; Heer, in : Basler Kommentar, Schweizerische Strafprozessordnung, Bâle 2011, n. 7 ad art. 410 CPP).</w:t>
      </w:r>
    </w:p>
    <w:p>
      <w:r>
        <w:rPr>
          <w:b/>
        </w:rPr>
        <w:t>E. 2.2.2</w:t>
      </w:r>
    </w:p>
    <w:p>
      <w:r>
        <w:t>L'art. 410 al. 1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2.2.3</w:t>
      </w:r>
    </w:p>
    <w:p>
      <w:r>
        <w:t>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ATF 130 IV 72 consid. 1). Ils sont sérieux lorsqu'ils sont propres à ébranler les constatations de fait sur lesquelles se fonde la condamnation et que l'état de fait ainsi modifié rend possible un jugement sensiblement plus favorable au condamné (ATF 145 IV 197 consid. 1.1; ATF 137 IV 59 précité consid. 5.1.4; TF 6B_731/2020 du 1 er juillet 2020 consid. 2.1).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ATF 143 IV 122 consid. 3.5; TF 6B_297/2020 du 10 juillet 2020 consid. 1.1.2), ou encore lorsque la demande de révision apparaît abusive (TF 6B_813/2020 du 22 juillet 2020 consid. 1.1; TF 6B_297/2020 précité et les références citées; TF 6B_324/2019 du 24 avril 2019 consid. 3.1 et les références citées). L'abus de droit ne doit toutefois être retenu qu'avec réserve. Il s'agit, dans chaque cas, d'examiner, au regard des circonstances de l'espèce, si la demande de révision tend à contourner les voies de droit ordinaires (ATF 130 IV 72 précité consid. 2.2 et 2.4; TF 6B_662/2019 du 23 août 2019 consid. 1.1;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précité consid. 2.2; TF 6B_574/2019 du 9 septembre 2019 consid. 1.1; TF 6B_1055/2018 du 27 juin 2019 consid. 3).</w:t>
      </w:r>
    </w:p>
    <w:p>
      <w:r>
        <w:rPr>
          <w:b/>
        </w:rPr>
        <w:t>E. 2.3</w:t>
      </w:r>
    </w:p>
    <w:p>
      <w:r>
        <w:t>En l’espèce, A.F.________ estime que les déclarations du Procureur général, reproduites ci-dessus, constituent l’aveu que sa présence dans la villa lors des homicides ne reposait que sur des « images de flashes » et non sur des preuves. Il considère qu’il s’agit d’un motif de révision. A tort. En effet, la manière dont une partie, en l’occurrence l’accusateur public, a élaboré sa conviction sur les faits de la cause et l’a présentée aux juges ne constitue ni un fait, ni une preuve, encore un moins un élément sérieux, susceptible d’ébranler les constatations de fait sur lesquelles repose la condamnation. Ce moyen est donc manifestement irrecevable.</w:t>
      </w:r>
    </w:p>
    <w:p>
      <w:r>
        <w:rPr>
          <w:b/>
        </w:rPr>
        <w:t>E. 3.1</w:t>
      </w:r>
    </w:p>
    <w:p>
      <w:r>
        <w:t>A.F.________ fait valoir que l’emploi du temps des victimes l’après-midi du 23 décembre 2005 après leur sortie du salon de coiffure, tel qu’il a été décrit par le Tribunal criminel, serait inexact car il n’intégrerait pas divers faits, notamment des achats chez [...], un passage à la [...] à la [...] et la prise en compte des durées nécessaires pour accomplir ces actions, puis retourner jusqu’à la villa. Il en déduit que le passage des victimes à la boulangerie ne pouvait avoir eu lieu le 23, mais avait bien eu lieu le 24 décembre 2005, si bien que le témoignage de O.________ n’aurait pas dû être écarté ou relativisé.</w:t>
      </w:r>
    </w:p>
    <w:p>
      <w:r>
        <w:rPr>
          <w:b/>
        </w:rPr>
        <w:t>E. 3.2</w:t>
      </w:r>
    </w:p>
    <w:p>
      <w:r>
        <w:t>Pour mémoire, le Tribunal criminel a considéré que O.________ avait, pour divers motifs, confondu le 23 et le 24 décembre 2005, en situant au 24 décembre, vers 17h00, le passage des deux dames B.F.________ à la boulangerie. Cela étant, l’argumentation de A.F.________ ne présente ni des faits nouveaux, ni des preuves nouvelles, mais une rediscussion des éléments du dossier connus des premiers juges. Il en va ainsi de la fréquentation par les victimes d’une boulangerie à la [...], qui est évoquée en page 13 du jugement de révision pénale du 23 novembre 2009 lorsque le témoignage de O.________ est restitué. Au demeurant, comme cela a déjà été jugé par la Cour de céans (cf. CAPE 1 er juin 2017/233 consid. 2.6 se référant au jugement du Tribunal criminel), l’erreur de ce témoin a pu porter tant sur la date que sur l’heure, si bien que la prétendue incompatibilité de faits avec cette heure est dépourvue de pertinence. Or, une demande de révision invoquant les mêmes motifs que ceux déjà rejetés par le passé est irrecevable en application de l’art. 412 al. 2 CPP.</w:t>
      </w:r>
    </w:p>
    <w:p>
      <w:r>
        <w:rPr>
          <w:b/>
        </w:rPr>
        <w:t>E. 4.1</w:t>
      </w:r>
    </w:p>
    <w:p>
      <w:r>
        <w:t>Le requérant soutient que les frottis buccaux auxquels il a été soumis ont été utilisés pour manipuler les traces d’ADN trouvées sur la scène du crime, soit sur la lame des ciseaux et sur le col de la chemise de nuit de sa mère. Il affirme que cette manipulation des preuves avait pour objectif de corroborer les « images de flashes » du Procureur général et de s’assurer de sa condamnation.</w:t>
      </w:r>
    </w:p>
    <w:p>
      <w:r>
        <w:rPr>
          <w:b/>
        </w:rPr>
        <w:t>E. 4.2</w:t>
      </w:r>
    </w:p>
    <w:p>
      <w:r>
        <w:t>En l’occurrence, le requérant ne fait, encore une fois, que rediscuter les éléments du dossier. En outre, ses affirmations, qui ne reposent sur aucun élément convaincant et apparaissent même fantaisistes, ne constituent pas des faits ou des moyens de preuve sérieux, si bien que ce moyen est également irrecevable.</w:t>
      </w:r>
    </w:p>
    <w:p>
      <w:r>
        <w:rPr>
          <w:b/>
        </w:rPr>
        <w:t>E. 5</w:t>
      </w:r>
    </w:p>
    <w:p>
      <w:r>
        <w:t>Au vu de ce qui précède, la requête de révision présentée par A.F.________ doit être déclarée irrecevable, sans autre échange d’écritures (art. 412 al. 2 CPP). Vu l’issue de la cause, les frais de la procédure, par 1’210 fr. (art. 21 al. 1 et 22 TFIP [Tarif des frais de procédure et indemnités en matière pénale du 28 septembre 2010; BLV 312.03.1]), seront mis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