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362 vom 19. März 2021</w:t>
      </w:r>
    </w:p>
    <w:p>
      <w:r>
        <w:t>VD Tribunal cantonal, 2021-03-19, FR</w:t>
      </w:r>
    </w:p>
    <w:p>
      <w:r>
        <w:rPr>
          <w:b/>
        </w:rPr>
        <w:t xml:space="preserve">Quelle: </w:t>
      </w:r>
      <w:r>
        <w:t>https://mcp.opencaselaw.ch/entscheid/vd_findinfo_Jug___2021___362</w:t>
      </w:r>
    </w:p>
    <w:p>
      <w:r>
        <w:t>FR: VD_FINDINFO Jug / 2021 / 362 du 19 mars 2021</w:t>
      </w:r>
    </w:p>
    <w:p>
      <w:r>
        <w:t>IT: VD_FINDINFO Jug / 2021 / 362 del 19 marzo 2021</w:t>
      </w:r>
    </w:p>
    <w:p>
      <w:pPr>
        <w:pStyle w:val="Heading2"/>
      </w:pPr>
      <w:r>
        <w:t>Regeste</w:t>
      </w:r>
    </w:p>
    <w:p>
      <w:r>
        <w:t>FIXATION DE LA PEINE, FIXATION DE L'AMENDE, RESPONSABILITÉ{DROIT PÉNAL}, CONCOURS D'INFRACTIONS, SURSIS PARTIEL À L'EXÉCUTION DE LA PEINE, PEINE PRIVATIVE DE LIBERTÉ, PEINE PÉCUNIAIRE, CONTRAINTE SEXUELLE, LÉSION CORPORELLE SIMPLE, INFRACTION QUALIFIÉE, ATTÉNUATION DE LA PEINE, PRÉSOMPTION D'INNOCENCE, LÉGITIME DÉFENSE, CONSTATATION DES FAITS, PLAINTE PÉNALE, RETRAIT{VOIE DE DROIT} | 106 CP, 123 ch. 1 CP, 123 ch. 2 al. 2 CP, 172ter ad 139 ch. 1 CP, 177 al. 1 CP, 186 CP, 19 al. 2 CP, 194 CP, 198 al. 2 CP, 286 CP, 34 CP, 40 CP, 43 al. 1 CP, 44 CP, 49 al. 1 CP, 63 CP, 66a al. 1 let. h CP, 67 CP, 10 CPP (CH), 120 CPP (CH), 398 al. 3 let. b CPP (CH), 426 al. 1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V.________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 ; TF 6B_481/2020 du 17 juillet 2020 consid. 1.2 ; TF 6B_952/2019 du 11 décembre 2019 consid. 2.1 ; TF 6B_727/2019 du 27 septembre 2019 consid. 1.3.1).</w:t>
      </w:r>
    </w:p>
    <w:p>
      <w:r>
        <w:rPr>
          <w:b/>
        </w:rPr>
        <w:t>E. 3.1</w:t>
      </w:r>
    </w:p>
    <w:p>
      <w:r>
        <w:t>L’appelant conteste tout d’abord la qualité de partie plaignante de S.________ et la recevabilité des conclusions civiles de celui-ci. Il fait valoir que les premiers juges ont retenu à tort que S.________ n’avait pas renoncé clairement et sans condition à faire valoir des conclusions civiles, que celui-ci a renoncé à déposer plainte et, ce faisant, à participer à la procédure pénale comme demandeur au pénal et au civil, et que sa volonté est clairement établie.</w:t>
      </w:r>
    </w:p>
    <w:p>
      <w:r>
        <w:rPr>
          <w:b/>
        </w:rPr>
        <w:t>E. 3.2</w:t>
      </w:r>
    </w:p>
    <w:p>
      <w:r>
        <w:t>Toute personne lésée peut porter plainte contre l’auteur d’une infraction (art. 30 al. 1 CP). Si l'ayant droit a expressément renoncé à porter plainte, sa renonciation est définitive (art. 30 al. 5 CP). Seule est valable la renonciation claire et inconditionnelle à déposer plainte (ATF 79 IV 97 consid. 2 ; ATF 75 IV 15 consid. 4 ; ATF 74 IV 81 consid. 5 ; TF 6B_220/2019 du 12 avril 2019 consid. 1.1). Aux termes de l’art. 120 CPP, le lésé peut en tout temps déclarer par écrit ou par oral qu’il renonce à user des droits qui sont les siens ; la déclaration orale est consignée au procès-verbal. La renonciation est définitive (al. 1) Si la renonciation n’a pas été expressément restreinte à l’aspect pénal ou à l’aspect civil, elle vaut tant pour la plainte pénale que pour l’action civile (al. 2).</w:t>
      </w:r>
    </w:p>
    <w:p>
      <w:r>
        <w:rPr>
          <w:b/>
        </w:rPr>
        <w:t>E. 3.3</w:t>
      </w:r>
    </w:p>
    <w:p>
      <w:r>
        <w:t>Aux débats, les premiers juges ont rejeté la réquisition de V.________ tendant à ce qu’il soit constaté que S.________ n’a pas la qualité de partie plaignante au civil dans le cadre de la présente procédure et ont constaté la qualité de partie demanderesse au civil de S.________. Lors de son audition par la police le 28 septembre 2019 en qualité de prévenu, S.________, répondant à la question « Souhaitez-vous déposer une plainte pénale ? », a déclaré : « Non. Vous me dites que l’autre Monsieur n’a pas déposé plainte, donc non je ne veux pas et l’histoire s’arrête là. » (dossier B, PV aud. 2 R 9). Il a confirmé ses déclarations lors de son audition par le Ministère public le 29 septembre 2019 : « Pour vous répondre, je ne veux pas déposer plainte. Je ne veux pas de frais. » (dossier B, PV aud. 3, ll. 34-35). Par ses déclarations claires et univoques qui ne prêtent pas à discussion, S.________, alors assisté par son défenseur, a renoncé à déposer plainte, sans restreindre sa renonciation à l’aspect pénal ou à l’aspect civil. La Cour de céans ne discerne aucune condition dans la renonciation exprimée par S.________, dont la volonté signifiée à la police, puis confirmée au Ministère public, était bel et bien de ne pas déposer de plainte pénale contre V.________, sans aucune réserve. Partant, il convient d’admettre ce grief et de considérer que S.________ n’est plus partie à la présente procédure, sa renonciation valant tant pour la plainte pénale que pour l’action civile (cf. art. 120 al. 2 CPP). En conséquence, les conclusions civiles prises par S.________ sont irrecevables.</w:t>
      </w:r>
    </w:p>
    <w:p>
      <w:r>
        <w:rPr>
          <w:b/>
        </w:rPr>
        <w:t>E. 4.1</w:t>
      </w:r>
    </w:p>
    <w:p>
      <w:r>
        <w:t>Invoquant une constatation incomplète et erronée des faits, et une violation de la présomption d’innocence, l’appelant conteste la version des faits du cas 1 retenue par les premiers juges. Il souligne les contradictions dans le récit du plaignant retenu par le jugement. Il fait valoir que les déclarations de S.________ auraient dû être retenues avec la plus grande réserve, que celui-ci n’a déposé plainte que le 9 septembre 2020, soit deux mois après le jugement libératoire rendu le 3 juillet 2020 par le Tribunal de police de l’arrondissement de Lausanne à son encontre et près d’un an et demi après les faits reprochés, qu’il avait ainsi eu tout loisir de modifier sa version des faits en fonction des auditions et des investigations déjà menées, qu’il a lui-même dû repousser l’attaque illicite du prénommé, et non l’inverse, que S.________ a au départ expressé­ment admis qu’il avait d’abord blessé l’appelant, avant d’être à son tour blessé par le couteau de l’appelant, et que ce n’est qu’à l’audience de jugement que S.________ a déclaré que l’appelant lui avait donné les premiers coups de couteau, lui-même n’ayant sorti le sien qu’après, qu’il n’avait donné aucun coup de couteau et que l’appelant s’était blessé tout seul. Il allègue que, au vu de ces contradictions, les déclarations de S.________ auraient dû être appréciées avec circonspection, arguant que la seule explication des juges selon laquelle l’appelant est plus jeune et plus baraqué que S.________ ne suffit pas à fonder un état de fait dans lequel l’appelant serait l’assaillant. Invoquant la légitime défense, l’appelant soutient qu’il a agi uniquement pour se défendre, répondant à une attaque illicite et injustifiée de son assaillant qui lui avait donné un premier coup de couteau qui aurait pu avoir des conséquences fatales pour lui, que sa vie a été mise en danger, qu’il s’agissait de l’ultime moyen de défense et que les conditions d’application de l’art. 15 CP sont réunies.</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 Les déclarations de la victime constituent un élément de preuve. Le juge doit, dans l'évaluation globale de l'ensemble des éléments probatoires rassemblés au dossier, les apprécier librement (TF 6B_1271/2020 du 20 août 2021 consid. 1.1.1 ; TF 6B_892/2020 du 16 février 2021 consid. 6.1 ; TF 6B_238/2020 du 14 décembre 2020 consid. 1.3 et les références citées), sous réserve des cas particuliers où une expertise de la crédibilité des déclarations de la victime s'impose (ATF 129 IV 179 consid. 2.4 ; TF 6B_976/2020 du 3 décembre 2020 consid. 1.2).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6B_1271/2020 précité ; TF 6B_892/2020 précité).</w:t>
      </w:r>
    </w:p>
    <w:p>
      <w:r>
        <w:rPr>
          <w:b/>
        </w:rPr>
        <w:t>E. 4.2.2</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6B_346/2016 du 31 janvier 2017 consid. 2.1.2).</w:t>
      </w:r>
    </w:p>
    <w:p>
      <w:r>
        <w:rPr>
          <w:b/>
        </w:rPr>
        <w:t>E. 4.3</w:t>
      </w:r>
    </w:p>
    <w:p>
      <w:r>
        <w:t>En l’espèce, s’il est exact que S.________ a varié dans ses déclarations, affirmant même à l’audience de jugement qu’il n’avait pas porté de coup de couteau à l’appelant et que ce dernier s’était blessé tout seul (jugement p. 23), cela n’est pas aussi déterminant que le soutient l’appelant. L’appelant a lui-même déclaré, en début d’enquête, qu’après avoir mis son sac devant lui pour se protéger, il avait frappé S.________ a coups de poing et de claques et peut-être à coups de pied, avant d’être touché au niveau du cou, relevant à cet égard : « Je ne pense pas que c’était un coup volontaire. (…) Dès que j’ai senti ce coup, cela m’a énervé encore plus et je suis allé contre lui. Je pense que c’est à ce moment-là qu’il a fait le mouvement en avant avec le couteau et qu’il m’a touché à l’abdomen avec la pointe du couteau. J’ai senti quand il m’avait touché. J’ai reculé. Lui a commencé à courir, je l’ai pourchassé sur environ 5 mètres » (dossier B, PV aud. 1 R. 5 p. 3). En outre, il est constant qu’au début de l’algarade, c’est bel et bien l’appelant lui-même, frustré et énervé, qui a pourchassé et attaqué S.________. L’appelant ayant lui-même pris l’initiative de la confrontation physique et violente, il ne peut être retenu qu’il faisait l’objet d’une attaque « de manière contraire au droit » au sens de l’art. 15 CP et qu’il n’avait pas d’autre choix que d’utiliser la violence pour se protéger et échapper à une agression.  Toute situation de légitime défense est donc exclue. Il s’ensuit que l’appréciation des preuves faite par les premiers juges n’est pas critiquable et que leur conviction quant à la culpabilité de l’appelant doit être partagée. C’est également à juste titre qu’ils ont retenu que les lésions infligées par l’appelant à S.________ étaient constitutives de lésions corporelles simples qualifiées, infraction dont la qualification juridique n’est au demeurant pas contestée. Ce grief doit donc être rejeté et la condamnation de l’appelant pour lésions corporelles simples qualifiées confirmée.</w:t>
      </w:r>
    </w:p>
    <w:p>
      <w:r>
        <w:rPr>
          <w:b/>
        </w:rPr>
        <w:t>E. 5.1</w:t>
      </w:r>
    </w:p>
    <w:p>
      <w:r>
        <w:t>L’appelant, qui conclut à son acquittement du chef de prévention de lésions corporelles simples qualifiées, critique la peine prononcée sans toutefois en contester la quotité, la conclusion tendant à la réduction de la peine à 24 mois étant uniquement liée à l’acquittement sollicité. Il fait valoir que les premiers juges ont minimisé les conclusions du rapport d’expertise psychiatrique, que l’alcool qu’il ingérait ne servait qu’à réduire les effets, alors méconnus, de sa schizophrénie paranoïde, que les grandes quantités d’alcool qu’il consommait avaient un effet désinhibiteur sur ses pulsions, que son évolution est très positive, qu’il a cessé toute consommation d’alcool et de cannabis, qu’il a rembour­sé ses dettes de plus de 20'000 fr. et qu’il ne doit pas être condamné à une peine ferme supérieure à celle qu’il a déjà purgée, soit un peu plus de 9 mois.</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6B_780/2018 du</w:t>
      </w:r>
    </w:p>
    <w:p>
      <w:r>
        <w:rPr>
          <w:b/>
        </w:rPr>
        <w:t>E. 5.2.2</w:t>
      </w:r>
    </w:p>
    <w:p>
      <w:r>
        <w:t>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consid. 5.5, JdT 2010 IV 127).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Un tel procédé permet de tenir compte de la diminution de la responsabilité, sans lui attribuer une signification excessive (ATF 136 IV 55 consid. 5.6). En présence d’une diminution de responsabilité pénale, le juge doit ainsi procéder en deux étapes.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consid. 5.7).</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5.2.4</w:t>
      </w:r>
    </w:p>
    <w:p>
      <w:r>
        <w:t>Selon l'art. 42 al. 1 CP, le juge suspend en règle générale l'exécution d'une peine pécuniaire ou d’une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Le sursis est la règle dont on ne peut s'écarter qu'en présence d'un pronostic défavorable. Il prime en cas d'incertitude (cf.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6B_805/2020 du 15 juillet 2020 consid. 2.2 ; TF 6B_317/2020 du 1 er juillet 2020 consid. 4.1). Il doit tenir compte de tous les éléments propres à éclairer l'ensemble du caractère de l'accusé et ses chances d'amendement. Il ne peut accorder un poids particulier à certains critères et en négliger d'autres qui sont pertinents (ATF 135 IV 180 précité ; ATF 134 IV 1 précité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du 30 mars 2020 consid. 3.1 ; TF 6B_1216/2019 du 28 novembre 2019 consid. 5.1 ; TF 6B_584/2019 du 15 août 2019 consid. 3.1 et les références citées).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6B_1192/2019 du 28 février 2020 consid. 2.1).</w:t>
      </w:r>
    </w:p>
    <w:p>
      <w:r>
        <w:rPr>
          <w:b/>
        </w:rPr>
        <w:t>E. 5.2.5</w:t>
      </w:r>
    </w:p>
    <w:p>
      <w:r>
        <w:t>La durée de la peine privative de liberté est de trois jours au moins et de 20 ans au plus (art. 40 al. 1, 1 re phr., et al. 2 CP). L’art. 34 CP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Selon l’art. 106 al. 1 CP, sauf disposition contraire de la loi, le montant maximum de l’amende est de 10'000 francs. Selon l’art. 106 al. 3 CP, le juge fixe l’amende et la peine privative de liberté de substitution en tenant compte de la situation de l’auteur afin que la peine corresponde à la faute commise. Le principe de l’aggravation de l’art. 49 al. 1 CP s’applique en cas de concours réel de contraventions (Dupuis et alii [éd.], Code pénal, Petit commentaire, 2 e éd., Bâle 2017, nn. 17 et 17a ad art. 49 CP).</w:t>
      </w:r>
    </w:p>
    <w:p>
      <w:r>
        <w:rPr>
          <w:b/>
        </w:rPr>
        <w:t>E. 5.3</w:t>
      </w:r>
    </w:p>
    <w:p>
      <w:r>
        <w:t>En l’espèce, V.________ doit être sanctionné pour contrainte sexuelle (art. 189 CP) – passible d’une peine privative de liberté de 10 ans au plus ou d’une peine pécuniaire –, lésions corporelles simples qualifiées (art. 123 ch. 2 al. 2 CP) – passibles d’une peine privative de liberté de 3 ans au plus ou d’une peine pécuniaire –, violation de domicile (art. 186 CP) – passible d’une peine privative de liberté de 3 ans au plus ou d’une peine pécuniaire –, injure (art. 177 al. 1 CP) – passible d’une peine pécuniaire de 90 jours-amende au plus –, exhibition­nisme (art. 194 al. 1 CP) – passible d’une peine pécuniaire –, empêchement d’accomplir un acte officiel (art. 286 CP) – passible d’une peine pécuniaire de 30 jours-amende au plus –, désagréments causés par la confrontation à un acte d’ordre sexuel, vol d’importance mineure (art. 172ter ad 139 ch. 1 CP) – passible de l’amende – et contravention à la loi fédérale sur les stupéfiants (art. 19a ch. 1 LStup) – passible de l’amende –. La sanction, fixée en application des critères légaux à charge et à décharge, et conformément à la culpabilité de l’appelant, ne prête pas le flanc à la critique et doit être confirmée. La Cour de céans fait donc sienne la motivation complète et convaincante des premiers juges telle qu’exposée dans le jugement entrepris (art. 82 al. 4 CPP ; jugement pp. 63-66), qui les a conduits à condamner le prévenu à une peine privative de liberté de 30 mois, dont 15 mois fermes. En effet, les faits reprochés à l’appelant et perpétrés sur une période d’un mois sont graves, puisqu’il s’en est pris cette fois aux biens juridiques les plus précieux que sont notamment l’intégrité physique et sexuelle d’autrui, pour des motifs purement égoïstes, soit sa propre satisfaction sexuelle. Ses nombreux antécédents témoignent de son absence de toute considé­ration pour les normes et l’ordre public, les enquêtes successives ouvertes à son encontre et ses quatre condamnations à des peines privatives de liberté entre 30 et 70 jours n’ayant eu absolument aucun effet dissuasif sur son comportement délictueux. A charge, il y a également lieu de retenir le concours d’infractions et son absence d’introspection s’agissant des lésions corporelles simples qualifiées du cas 1, l’appelant continuant à minimiser sa respon­sabilité en expliquant avoir agi uniquement pour se défendre. La faute de l’appelant devrait être qualifiée de lourde. Il convient toutefois de tenir compte de la diminution légère de responsabilité retenue par les experts (P. 41), à mettre en lien avec les graves troubles mentaux dont il souffre et l’abus d’alcool, présents au moment des faits. Aussi, par l’effet de l’art. 19 al. 2 CP, la faute de l’appelant, prise dans son ensemble, doit être atténuée et considérée comme moyenne, cette atténuation valant pour toutes les infractions retenues. A sa décharge, il y a lieu de prendre également en considération le parcours chaotique de l’appelant du point de vue de sa formation et de son insertion dans le monde du travail, et le bon comportement adopté depuis sa sortie de détention, soit le fait qu’il ait entrepris un traitement médicamenteux et un suivi psychiatrique à raison d’une séance par mois, qu’il ait renoué avec sa famille, qu’il ait trouvé un travail dans le cadre duquel il est apprécié et qu’il ait payé ses peines pécuniaires et remboursé ses dettes de plus de 20'000 francs. La contrainte sexuelle du cas 3.3, infraction la plus grave, justifie ainsi à elle seule une peine privative de liberté de 20 mois. Les effets du concours conduisent à l’augmentation de cette peine de base de 9 mois pour les lésions corporelles simples qualifiées (cas 1) et d’un mois pour la violation de domicile (cas 2.2), ce qui justifie le prononcé d’une peine privative de liberté totale de 30 mois. Il convient d’assortir cette peine d’un sursis partiel. Grâce au traitement médicamenteux et au suivi psychiatrique que le prévenu a entrepris, ses graves trou­bles psychiques se sont stabilisés, mais le prévenu a encore consommé de l’alcool et du LSD durant les mois de mai et juin 2021, comme en attestent de nom­breuses pièces au dossier (P. 138, P. 143, P. 146/1, P. 148/2 et P. 152). L’importance et la diversité des biens juridiques lésés, ainsi que sa prise de conscience presque inexis­tante de la gravité des infractions contre l’intégrité corporelle et sexuelle, conduisent, à l’instar des premiers juges, à fixer à 15 mois la partie ferme de la peine devant être exécutée, la durée du délai d’épreuve devant être fixée à 4 ans. La peine pécuniaire de 90 jours-amende à 50 fr. le jour sanctionnant les infractions d’injure (cas 3.3), d’exhibition­nisme (cas 3.2 et 3.3) et d’empêchement d’accomplir un acte officiel (cas 2.1), et l’amende de 2'000 fr. sanctionnant les infractions de désagréments causés par la confrontation à un acte d’ordre sexuel (cas 3.1), de vol d’importance mineure (cas 2.2) et la contravention à la LStup (cas 4.1) ne sont pas contestées dans leur quotité. Compte tenu de la situation personnelle du prévenu et des fautes commises, ces peines sont adéquates et doivent être confirmées. 6. 6.1 L’appelant conteste son expulsion du territoire suisse prononcée par les premiers juges et invoque l’application de la clause de rigueur. Il fait valoir qu’il vit en Suisse depuis l’âge de 9 ans, qu’il y a suivi sa scolarité et y a travaillé, qu’il est désormais suivi par un psychiatre et que son intérêt privé à demeurer en Suisse prévaudrait sur l’intérêt public à son expulsion en raison de ses liens sociaux et professionnels intenses avec la Suisse. 6.2 6.2.1 Aux termes de l'art. 66a al. 1 let. h CP, le juge expulse de Suisse l'étranger qui est condamné pour contrainte sexuelle (art. 189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 er mai 2020 consid. 3.2.1 ; TF 6B_1329/2018 du 14 février 2019 consid. 2.2 ; TF 6B_1262/2018 du 29 janvier 2019 consid. 2.2). La clause de rigueur permet de garantir le principe de la proportionnalité (cf. art. 5 al. 2 Cst.). Elle doit être appliquée de manière restrictive (ATF 146 IV 105 consid. 3.4.2 ; ATF 144 IV 332 précité consid. 3.3.1 ; TF 6B_40/2021 et 6B_111/2021 du 29 septembre 2021 consid. 4.2). Selon la jurisprudence du Tribunal fédéral (ATF 146 IV 105 précité consid. 3 ; ATF 144 IV 332 précité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précité ; TF 6B_40/2021 et 6B_111/2021 précités ; TF 6B_708/2020 du 11 mars 2021 consid. 5.1). L'examen de la clause de rigueur doit être effectué dans chaque cas sur la base des critères d'intégration habituels (ATF 144 IV 332 précité ; TF 6B_40/2021 et 6B_111/2021 précités).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6B_40/2021 et 6B_111/2021 précités). 6.2.2 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D'après une jurisprudence constante, les relations visées par l'art. 8 CEDH sont avant tout celles qui concernent la famille dite nucléaire, soit celles qui existent entre époux ainsi qu'entre parents et enfants mineurs vivant en ménage commun (ATF 144 II 1 consid. 6.1 ; ATF 135 I 143 consid. 1.3.2 ; TF 6B_908/2019 du 5 novembre 2019 consid. 2.1.1).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 6.3 En l’espèce, le prévenu a commis une infraction (contrainte sexuelle) qui tombe sous le coup de l’art. 66a al. 1 let. h CP, de sorte qu’il remplit les condi­tions d’une expulsion obligatoire, sous réserve de l'application de l'art. 66a al. 2 CP. Quoi qu’en dise le prévenu, son intégration en Suisse est très médio­cre. En effet, il a pour seules attaches en Suisse ses parents, ses deux frères, deux oncles, deux tantes et sept cousins, membres de sa famille ne constituant pas la famille « nucléaire » au sens de la jurisprudence. Le prévenu, qui n’a pas achevé la formation de mécanicien qu’il avait entamée, est célibataire et n’a personne à charge. Il vit chez ses parents, lesquels ont pourvu intégralement à son entretien, sous réserve de ses frais de téléphone, afin qu’il puisse rembourser l’inté­gralité de ses dettes qui se montaient à plus de 20'000 francs. Après avoir alterné des périodes de chômage et d’emplois divers, il a bénéficié du chômage, puis a émargé à l’aide sociale avant de trouver un emploi en août 2020. Le prévenu travaille certes pour le même employeur depuis le 13 novembre 2020, mais son intégration professionnelle est très récente. A cela s’ajoute le fait que l’extrait de son casier judiciaire suisse fait état de sept condamnations entre 2013 et 2021, que ses quatre condamnations à des peines pécuniaires et ses trois condamnations à des peines privatives de liberté n’ont eu aucun effet sur son comportement délictueux et que les nombreuses infractions pour lesquelles il est condamné par le jugement attaqué sont objecti­vement graves. Les pièces produites par le prévenu à l’audience d’appel (P. 165) ne changent rien à ces constats mis en lien avec son intégration. Le prévenu, qui parle espagnol, a certes peu de liens avec l’Equateur où il a une tante, une grand-mère et un cousin, mais il est régulièrement en contact avec ces derniers. Il ne rencontrerait donc pas de grandes difficultés d’intégration dans son pays d’origine, lesquelles ne seraient en tous les cas pas plus importantes que celles qu’il connaît en Suisse. En outre, aucun élément ne permet de penser que son intégration dans son pays d’origine serait plus difficile qu’en Suisse où il ne se prévaut pas d’une intégration sociale aboutie, si ce n’est qu’il est membre d’un club de football amateur de 5 e ligue. Enfin, les moyens de télécommunication modernes lui permettront de demeurer en contact continu avec les membres de sa famille demeurés en Suisse (TF 6B_1174/2020 du 23 juin 2021 ; cf., à cet égard également, TF 6B_627/2021 du 27 août 2021 consid. 4.3.3). Aussi, l’expulsion du prévenu ne le mettrait pas dans une situation personnelle grave. Partant, l’intérêt public à l’expulsion du prévenu l’emporte nettement sur l’intérêt privé de celui-ci à demeurer en Suisse. Les conditions de la clause de rigueur de l'art. 66a al. 2 CP ne sont donc pas réunies et l’expulsion de V.________ du territoire suisse pour une durée de 5 ans, conforme au principe de la proportionnalité, doit être confirmée. 7. 7.1 L’appel étant très partiellement admis, il convient d’examiner la répar­tition des frais de première instance. 7.2 L’art. 426 al. 1, 1 re phr., CPP prévoit que le prévenu supporte les frais de procédure s’il est condamné. En cas d’acquittement, tout ou partie des frais de procédure peuvent être mis à la charge du prévenu s’il a, de manière illicite et fautive, provoqué l’ouverture de la procédure ou rendu plus difficile la conduite de celle-ci (art. 426 al. 2 CPP). 7.3 Les premiers juges ont mis l’intégralité des frais de première instance, y compris les indemnités allouées aux mandataires d’office des parties, à la charge du prévenu. En appel, la qualité de partie plaignante est déniée à S.________, Aussi, quand bien même la condamnation du prévenu est confirmée par la Cour de céans, l’indemnité allouée au conseil d’office de S.________ pour la procédure de première instance sera, en équité, laissée à la charge de l’Etat. Le montant des frais de première instance mis à la charge du prévenu doit ainsi être réduit à 75'100 fr. 65. 8. En définitive, l’appel de V.________ doit être très partiellement admis, le jugement entrepris devant être modifié aux chiffres IX, X, XIII et XV à XVII dans le sens des considérants qui précèdent. Sur la base de la liste des opérations produite par le défenseur d’office de V.________ (P. 166) – dont il n’y a pas lieu de s’écarter si ce n’est pour tenir compte de l’audience d’appel qui a duré 2h et pour allouer des débours forfaitaires à concurrence de 2% –, une indemnité d’un montant total de 5'946 fr., montant correspondant à 29h25 d’activité d’avocat breveté au tarif horaire de 180 fr., soit 5'295 fr., 105 fr. 90 de débours forfai­taires, une vacation à 120 fr. et 425 fr.10 de TVA (art. 2 al. 1 let. a et 3bis al. 1 et al. 3 RAJ [Règlement sur l’assistance judiciaire en matière civile du 7 décembre 2010 ; BLV 211.02.3], appli­cables par renvoi de l’art. 26b TFIP [Tarif des frais de procédure et indemnités en matière pénale du 28 septembre 2010 ; BLV 312.03.1]), doit être allouée à Me David Abikzer. La liste des opérations produite par le conseil d’office de S.________ (P. 167/1) fait état de 3,95 h d’activité d’avocat breveté et de 4,5 h d’activité d’avocat-stagiaire. Compte tenu de la connaissance du dossier acquise depuis la première instance par le mandataire et de l’activité d’avocat nécessaire à la défense de l’intimé S.________, le temps allégué est excessif et doit être réduit de 2,15 h s’agissant de l’activité de l’avocat. Il ne peut être tenu compte du temps consacré à l’examen des motifs du jugement de première instance (0,5 h), cette opération postérieure au premier jugement faisant partie intégrante de l’indemnité d’office arrêtée par les premiers juges. Il convient également de supprimer le temps consacré à l’examen des courriers du Ministère public, de l’Office d’exécution des peines et du/au Tribunal cantonal, ce temps n’étant pas justifié par la com­plexité de la cause. Enfin, on ajoutera une heure d’activité d’avocat-stagiaire pour tenir compte du temps effectif de l’audience d’appel. Il convient par conséquent de retenir 1h48 d’activité d’avocat breveté au tarif horaire de 180 fr., 5h30 d’activité d’avocat-stagiaire au tarif horaire de 110 fr., des débours forfaitaires à concurrence de 2% et une vacation à 80 fr. (art. 2 al. 1 let. a et let. b, et 3bis al. 1 et al. 3  RAJ). L’indemnité de défenseur d’office de Me Christian Dénériaz pour la procédure d’appel est par conséquent fixée à 1'106 fr. 75 (324 fr. [honoraires avocat] + 605 fr. [honoraires avocat-stagiaire] + 18 fr. 60 [débours] + 80 fr. [1 vacation] + 79 fr. 15 [TVA]). Cette indemnité sera laissée à la charge de l’Etat. Vu l’issue de la cause, les frais d’appel, par 10'276 fr., constitués en l’espèce de l’émolument de jugement, par 4'330 fr. (art. 21 al. 1 et 2 TFIP), et de l’indemnité allouée au défenseur d’office du prévenu, par 5'946 fr., seront mis à raison des 4/5, soit 8'220 fr. 80, à la charge de V.________, le solde étant laissé à la charge de l’Etat (art. 428 al. 1 CPP). V.________ ne sera tenu de rembourser les 4/5 de l’indemnité d’office allouée pour la procédure d’appel à son défenseur d’office que lorsque sa situation financière le permettra (art. 135 al. 4 let. a CPP).</w:t>
      </w:r>
    </w:p>
    <w:p>
      <w:r>
        <w:rPr>
          <w:b/>
        </w:rPr>
        <w:t>E. 9</w:t>
      </w:r>
    </w:p>
    <w:p>
      <w:r>
        <w:t>octobre 2018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