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360 vom 12. November 2020</w:t>
      </w:r>
    </w:p>
    <w:p>
      <w:r>
        <w:t>VD Tribunal cantonal, 2020-11-12, FR</w:t>
      </w:r>
    </w:p>
    <w:p>
      <w:r>
        <w:rPr>
          <w:b/>
        </w:rPr>
        <w:t xml:space="preserve">Quelle: </w:t>
      </w:r>
      <w:r>
        <w:t>https://mcp.opencaselaw.ch/entscheid/vd_findinfo_Jug___2021___360</w:t>
      </w:r>
    </w:p>
    <w:p>
      <w:r>
        <w:t>FR: VD_FINDINFO Jug / 2021 / 360 du 12 novembre 2020</w:t>
      </w:r>
    </w:p>
    <w:p>
      <w:r>
        <w:t>IT: VD_FINDINFO Jug / 2021 / 360 del 12 novembre 2020</w:t>
      </w:r>
    </w:p>
    <w:p>
      <w:pPr>
        <w:pStyle w:val="Heading2"/>
      </w:pPr>
      <w:r>
        <w:t>Regeste</w:t>
      </w:r>
    </w:p>
    <w:p>
      <w:r>
        <w:t>ACQUITTEMENT, FRAIS JUDICIAIRES, PROCÉDURE ÉCRITE, ADMISSION PARTIELLE | 426 al. 2 CPP (CH)</w:t>
      </w:r>
    </w:p>
    <w:p>
      <w:pPr>
        <w:pStyle w:val="Heading2"/>
      </w:pPr>
      <w:r>
        <w:t>Erwägungen</w:t>
      </w:r>
    </w:p>
    <w:p>
      <w:r>
        <w:rPr>
          <w:b/>
        </w:rPr>
        <w:t>E. 1</w:t>
      </w:r>
    </w:p>
    <w:p>
      <w:r>
        <w:t>CPP), l'appel de A.L.________ est recevable.</w:t>
      </w:r>
    </w:p>
    <w:p>
      <w:r>
        <w:rPr>
          <w:b/>
        </w:rPr>
        <w:t>E. 1.1</w:t>
      </w:r>
    </w:p>
    <w:p>
      <w:r>
        <w:t>Interjeté dans les formes et délais légaux (art. 385 al. 1 et 399 CPP) par une partie ayant la qualité pour recourir contre le jugement d'un tribunal de première instance qui a clos la procédure (art. 398 al.</w:t>
      </w:r>
    </w:p>
    <w:p>
      <w:r>
        <w:rPr>
          <w:b/>
        </w:rPr>
        <w:t>E. 1.2</w:t>
      </w:r>
    </w:p>
    <w:p>
      <w:r>
        <w:t>Dès lors qu’il ne porte que sur la question des frais, l’appel relève de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3.1</w:t>
      </w:r>
    </w:p>
    <w:p>
      <w:r>
        <w:t>L’appelant fait valoir que, sous l’angle des art. 426 al. 1, 2 et 4 CPP, la mise à sa charge de tous les frais de cette procédure constituerait une violation manifeste du droit.</w:t>
      </w:r>
    </w:p>
    <w:p>
      <w:r>
        <w:rPr>
          <w:b/>
        </w:rPr>
        <w:t>E. 3.2.1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w:t>
      </w:r>
    </w:p>
    <w:p>
      <w:r>
        <w:rPr>
          <w:b/>
        </w:rPr>
        <w:t>E. 3.2.2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TF 6B 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la 162 consid. 2c p. 170; TF 66_203/2015 du 16 mars 2016 consid. 1.1,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p. 171). Les frais de l’assistance judiciaire gratuite de la partie plaignante ne peuvent être mis à la charge du prévenu que si celui-ci bénéficie d’une bonne situation financière (al. 4).</w:t>
      </w:r>
    </w:p>
    <w:p>
      <w:r>
        <w:rPr>
          <w:b/>
        </w:rPr>
        <w:t>E. 3.3</w:t>
      </w:r>
    </w:p>
    <w:p>
      <w:r>
        <w:t>A.L.________ a admis avoir frappé sa fille sur sa tête, doigts repliés, à une ou deux reprises. Il reconnaît lui avoir donné une gifle et lui avoir tiré l’oreille tout en lui tenant le bras. Le premier juge, qui, du moins au bénéfice du doute, ne s’était pas convaincu de la réalité de l’incrimination pénale contenue dans l’acte d’accusation (cf. let. Cc supra), laquelle provenait des déclarations de B.L.________, a retenu qu’il s’agissait de voies de fait et non de lésions corporelles simples qualifiées. Le premier juge a encore noté, après avoir observé que la partie plaignante avait varié dans ses déclarations (jugement attaqué p. 15), que les lésions constatées étaient difficilement compatibles avec ce que rapportait B.L.________, et que la position occupée par les protagonistes autour de la table permettait difficilement au père de s’en prendre à sa fille de la manière décrite dans l’acte d’accusation (ibidem p. 16). Il n’en demeure pas moins que le prévenu s’est livré à des voies de fait sur sa fille, ce qu’il admet. Ce comportement, pénalement répréhensible, est à l’origine de l’action pénale. La question est donc de savoir s’il faut mettre tout ou partie des frais de la procédure à la charge de l’appelant. A.L.________ relève à juste titre que les accusations de sa fille ont entraîné une enquête pénale, et par voie de conséquence des frais, qui se sont révélés inutiles, puisqu’il a toujours admis s’en être pris à sa fille de la manière qui a finalement été retenue par le premier juge. On doit relever aussi, avec l’appelant, que sa situation financière n’est pas bonne (ibidem p. 14), ce qui constitue un empêchement à la mise des frais d’assistance judiciaire gratuite de la partie plaignante à la charge du prévenu. Au vu des éléments qui précède, il convient de laisser l’indemnité de 4'310 fr. 70 allouée à Me Fabien Mingard, conseil juridique gratuit de B.L.________ à la charge de l’Etat (art. 426 al. 4 CPP). S’agissant de l’indemnité de défenseur d’office de 2'649 fr. 60 allouée à Me Jérôme Campart, défenseur d’office de A.L.________, il se justifie de la mettre par moitié, soit 1'324 fr. 80, à la charge de ce dernier, le solde étant laissé à la charge de l’Etat. Quant aux frais de la procédure, qui s’élèvent à 3'744 fr. 90, dont 700 fr. pour une demi-journée d’audience, il convient de les mettre par moitié, soit 1'872 fr. 45, à la charge de A.L.________, le solde étant laissé à la charge de l’Etat. L’appel de A.L.________ sera donc admis dans cette mesure.</w:t>
      </w:r>
    </w:p>
    <w:p>
      <w:r>
        <w:rPr>
          <w:b/>
        </w:rPr>
        <w:t>E. 4</w:t>
      </w:r>
    </w:p>
    <w:p>
      <w:r>
        <w:t>En définitive, l’appel de A.L.________ doit être partiellement admis et le jugement entrepris réformé dans le sens des considérants qui précède. Me Jérôme Campart, défenseur d’office de l’appelant, a droit à une indemnité pour la procédure d’appel. En l’absence d’une liste détaillé des opérations et au vu du mémoire produit, c'est une indemnité d'un montant de 692 fr. 10, correspondant à 3h30 minutes d'activité nécessaire au tarif horaire de 180 fr., 12 fr. 60 de débours (2% des honoraires) et 49 fr 50 de TVA, qui sera allouée au défenseur d'office de A.L.________. Vu l'issue de la cause, les frais de la procédure d'appel, constitués en l’espèce de l'émolument de jugement, par 990 fr. (art. 21 al. 1 et 2 TFIP [Tarif des frais de procédure et indemnités en matière pénale du 28 septembre 2010; BLV 312.03.1]), et de l’indemnité allouée au défenseur d'office de l’appelant (art. 422 al. 1 et 2 let. a CPP), seront mis pour un tiers, soit 330 fr., à la charge d’A.L.________, le solde, par deux tiers, soit 660 fr., étant laissé à la charge de l’Etat. A.L.________ ne sera tenu de rembourser à l’Etat un tiers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