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358 vom 18. Dezember 2020</w:t>
      </w:r>
    </w:p>
    <w:p>
      <w:r>
        <w:t>VD Tribunal cantonal, 2020-12-18, FR</w:t>
      </w:r>
    </w:p>
    <w:p>
      <w:r>
        <w:rPr>
          <w:b/>
        </w:rPr>
        <w:t xml:space="preserve">Quelle: </w:t>
      </w:r>
      <w:r>
        <w:t>https://mcp.opencaselaw.ch/entscheid/vd_findinfo_Jug___2021___358</w:t>
      </w:r>
    </w:p>
    <w:p>
      <w:r>
        <w:t>FR: VD_FINDINFO Jug / 2021 / 358 du 18 décembre 2020</w:t>
      </w:r>
    </w:p>
    <w:p>
      <w:r>
        <w:t>IT: VD_FINDINFO Jug / 2021 / 358 del 18 dicembre 2020</w:t>
      </w:r>
    </w:p>
    <w:p>
      <w:pPr>
        <w:pStyle w:val="Heading2"/>
      </w:pPr>
      <w:r>
        <w:t>Regeste</w:t>
      </w:r>
    </w:p>
    <w:p>
      <w:r>
        <w:t>INFRACTION D'IMPORTANCE MINEURE, FIXATION DE LA PEINE, SURSIS À L'EXÉCUTION DE LA PEINE, TORT MORAL, DÉTENTION ILLICITE, ADMINISTRATION DES PREUVES, PROCÈS-VERBAL, DROIT D'ÊTRE ENTENDU, AVOCAT D'OFFICE, INDEMNITÉ POUR DÉTENTION, INDEMNITÉ ÉQUITABLE, COAUTEUR{DROIT PÉNAL} | 172ter al. 1 CP, 42 al. 1 CP, 44 al. 1 CP, 47 CP, 29 al. 2 Cst., 135 CPP (CH), 147 CPP (CH), 431 al. 1 CPP</w:t>
      </w:r>
    </w:p>
    <w:p>
      <w:pPr>
        <w:pStyle w:val="Heading2"/>
      </w:pPr>
      <w:r>
        <w:t>Erwägungen</w:t>
      </w:r>
    </w:p>
    <w:p>
      <w:r>
        <w:rPr>
          <w:b/>
        </w:rPr>
        <w:t>E. 1</w:t>
      </w:r>
    </w:p>
    <w:p>
      <w:r>
        <w:t>Interjetés dans les formes et délais légaux (art. 399 CPP), par des parties ayant la qualité pour recourir (art. 382 al. 1 CPP),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6B_672/2019 du 6 août 2019 consid. 1.1). Appel de X.________</w:t>
      </w:r>
    </w:p>
    <w:p>
      <w:r>
        <w:rPr>
          <w:b/>
        </w:rPr>
        <w:t>E. 3.1</w:t>
      </w:r>
    </w:p>
    <w:p>
      <w:r>
        <w:t>L’appelant soutient que ce n’est pas lui qui conduisait le véhicule mais son comparse Y.________, que son rôle s’est limité à être assis passivement à l’arrière de la voiture, que l’instruction n’a pas établi qu’il avait monté la garde pendant que Z.________ commettait son forfait, d’autant que le parking sur lequel ils attendaient était éloigné la maison de F.________, et qu’il n’a pas participé d’une quelconque façon à l’élaboration ou à l’exécution du cambriolage, de sorte qu’une complicité tout au plus – et non une coaction – devrait être retenue à son encontre.</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6B_1452/2020 du 18 mars 2021 consid. 1.1).</w:t>
      </w:r>
    </w:p>
    <w:p>
      <w:r>
        <w:rPr>
          <w:b/>
        </w:rPr>
        <w:t>E. 3.3</w:t>
      </w:r>
    </w:p>
    <w:p>
      <w:r>
        <w:t>En l’espèce, en cours d’enquête, après avoir tout d’abord prétendu que lui et Y.________ avaient pris Z.________ en autostop et qu’il ne connaissait donc pas ce dernier (PV aud. 2, R. 11-12), l’appelant a finalement admis que le trio était parti depuis Genève et que « l’objectif de la journée était de se faire de l’argent » (PV aud. 2, R. 19). Au cours des débats de première instance, l’appelant a confirmé que le déplacement du 23 juillet 2018 s’était fait depuis Genève avec sa voiture portant des plaques allemandes et qu’il était parti avec Z.________ pour commettre un vol (jugement, pp. 5 et 11). Toutefois, à l’audience d’appel, il a déclaré qu’il n’avait rien fait, que l’expédition avait pour but d’aller mendier et chercher une pièce de voiture dans une casse, soit celle de Thévenaz Leduc SA. Quant à son comparse Y.________, après avoir nié toute implication dans un premier temps (PV aud. 2), il a reconnu durant l’enquête et au cours des débats de première instance qu’il connaissait le but de l’expédition et qu’il était convenu de faire le plein d’essence avec l’argent du butin et de partager le solde en trois (PV aud. 6, lignes 62-63 ; jugement, p. 6), ce qu’il a confirmé au cours de l’audience d’appel en ces termes : « Je reconnais que le but de l’expédition était de voler et c’est ainsi qu’il faut comprendre les termes : "aller se faire de l’argent". Je pense que X.________ savait de quoi il retournait. Il était question de partager en trois l’argent. Si on se faisait de l’argent, on faisait le plein de la voiture et le reste on le partageait en trois » (procès-verbal, p. 4). Ce qui est valable pour Y.________ l’est tout autant pour l’appelant, qui met en plus son véhicule à disposition. Il faut donc retenir que, dès leur départ de Genève, les trois comparses connaissaient non seulement le but de leur expédition mais s’étaient également mis d’accord sur la manière, équitable, dont le butin serait partagé. Cela est suffisant pour admettre que l’appelant voulait autant pour sien le crime des deux autres en s’y associant pleinement et activement. Il s’ensuit que la participation de l’appelant au vol reproché relève bel et bien de la coaction et non de la complicité.</w:t>
      </w:r>
    </w:p>
    <w:p>
      <w:r>
        <w:rPr>
          <w:b/>
        </w:rPr>
        <w:t>E. 4.1</w:t>
      </w:r>
    </w:p>
    <w:p>
      <w:r>
        <w:t>L’appelant soutient que le premier juge aurait dû appliquer l’art. 172 ter CP, soit retenir un vol d’importance mineure pour les motifs que Z.________ s’est introduit dans le domicile de F.________ par une porte ouverte et qu’il est donc évident qu’il n’aurait pas pu dérober des valeurs patrimoniales supérieures à 300 fr. vu les fortes probabilités que la propriétaire des lieux se trouve dans son logement. Dès lors que l’infraction à l’art. 172 ter CP ne se poursuit pas d’office et que F.________ a retiré sa plainte, il considère qu’il devrait être libéré de toute infraction.</w:t>
      </w:r>
    </w:p>
    <w:p>
      <w:r>
        <w:rPr>
          <w:b/>
        </w:rPr>
        <w:t>E. 4.2</w:t>
      </w:r>
    </w:p>
    <w:p>
      <w:r>
        <w:t>Aux termes de l’art. 172 ter CP, si l’acte ne visait qu’un élément patrimonial de faible valeur ou un dommage de moindre importance, l’auteur sera, sur plainte, puni d’une amende (al. 1). Cette disposition n’est pas applicable au vol qualifié (art. 139 ch. 2 et 3), au brigandage ainsi qu’à l’extorsion et au chantage (al. 2). Un élément patrimonial est de faible valeur s'il ne vaut pas plus de 300 fr. (ATF 142 IV 129 consid. 3.1).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123 IV 197 consid. 2a, JdT 1999 IV 66 ; ATF 123 IV 113 consid. 3f ; ATF 122 IV 156 consid. 2 ; TF 6B_217/2012 du 20 juillet 2012 consid. 4.3).</w:t>
      </w:r>
    </w:p>
    <w:p>
      <w:r>
        <w:rPr>
          <w:b/>
        </w:rPr>
        <w:t>E. 4.3</w:t>
      </w:r>
    </w:p>
    <w:p>
      <w:r>
        <w:t>En l’espèce, il est établi que les trois prévenus se sont associés et ont pris place à bord du même véhicule dans le but de voler et de se partager le butin. En pénétrant dans le domicile de F.________, leur intention portait à l’évidence sur un vol conséquent, soit d’un montant supérieur à 300 fr., et si Z.________ n’a dérobé qu’un billet de 100 fr. qui se trouvait sur une table à ce moment-là à l’intention de la femme de ménage (PV aud. 1, R. 15 et R. 16 ; P. 4, p. 5), c’est uniquement parce qu’il a été surpris par la propriétaire des lieux. De plus, comme on l’a vu ci-dessus, l’appelant a lui-même admis que l’objectif de la journée était de se faire de l’argent et si le trio n’a pas volé plus d’argent, c’est uniquement parce qu’il a été interpellé peu après par la police. Le moyen de l’appelant est par conséquent infondé.</w:t>
      </w:r>
    </w:p>
    <w:p>
      <w:r>
        <w:rPr>
          <w:b/>
        </w:rPr>
        <w:t>E. 5.1</w:t>
      </w:r>
    </w:p>
    <w:p>
      <w:r>
        <w:t>L’appelant considère que le genre et la quotité de peine infligés sont excessifs. Il soutient qu’il n’a pas fait l’objet d’une nouvelle poursuite pénale depuis les faits, qu’il n’a pas d’antécédents, que ses mensonges sont à mettre sur le compte de la peur, qu’il travaille et est bien intégré en Suisse, de sorte qu’il ne devrait être condamné qu’à une peine pécuniaire clémente assortie d’un sursis de deux ans tout au plus, le prononcé d’une amende ne se justifiant pas.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5.2.2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Aux termes de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 TF 6B_1339/2016 du 23 mars 2017 consid. 1.1.2 ; TF 6B_1227/2015 du 29 juillet 2016 consid. 1.2.1).</w:t>
      </w:r>
    </w:p>
    <w:p>
      <w:r>
        <w:rPr>
          <w:b/>
        </w:rPr>
        <w:t>E. 5.3</w:t>
      </w:r>
    </w:p>
    <w:p>
      <w:r>
        <w:t>En l’espèce, l’appelant a été condamné le 22 août 2018 pour un délit à la LArm commis le 11 avril 2018 : il a donc récidivé en cours d’enquête. Son expédition criminelle n’a pris fin que parce qu’il a été arrêté. La prise de conscience est par ailleurs nulle puisqu’après avoir reconnu qu’il s’était associé avec Z.________ pour voler (jugement, p. 11), il s’est rétracté au cours de l’audience d’appel en prétendant qu’il n’avait rien fait et que le but du voyage était d’aller mendier et d’aller chercher une pièce dans une casse à Thévenaz Leduc SA, à Ecublens. En outre, bien qu’en Suisse depuis avril 2018, il n’est pas particulièrement bien intégré, ne parlant guère le français et ayant eu besoin de l’assistance d’un interprète. Il n’y a aucun élément à décharge. Des motifs de prévention spéciale dictent par conséquent le prononcé d’un genre de peine dissuasif prenant la forme d’une peine privative de liberté. Procédant à sa propre appréciation, la Cour considère qu’une peine privative de liberté de 3 mois est adéquate. Vu l’écoulement du temps et le fait que l’appelant travaille depuis plus de deux ans, le pronostic quant à son comportement futur n'apparaît pas entièrement défavorable. Il s'ensuit que la peine privative de liberté de 3 mois sera assortie d'un délai d'épreuve de 3 ans compte tenu de l’antécédent. Dans la mesure où la peine privative de liberté est assortie du sursis, il se justifie de prononcer une amende à titre de sanction immédiate (art. 42 al. 4 CPP). Vu le salaire mensuel net de 3'600 fr. et l’aide supplémentaire apportée par les services sociaux, la quotité de l’amende par 400 fr. et la conversion en 8 jours de peine privative de liberté en cas de non-paiement fautif dans le délai imparti sont adéquats et peuvent être confirmés.</w:t>
      </w:r>
    </w:p>
    <w:p>
      <w:r>
        <w:rPr>
          <w:b/>
        </w:rPr>
        <w:t>E. 6.1</w:t>
      </w:r>
    </w:p>
    <w:p>
      <w:r>
        <w:t>L’appelant réclame une indemnité à fixer à dire de justice au sens de l’art. 429 al. 1 let. c CPP pour avoir été détenu provisoirement pendant 54 jours, ainsi qu’une indemnité de 1'150 fr. au sens de l’art. 431 CPP pour avoir été détenu pendant 23 jours dans des conditions de détention illicites (23 x 50 fr. par jour).</w:t>
      </w:r>
    </w:p>
    <w:p>
      <w:r>
        <w:rPr>
          <w:b/>
        </w:rPr>
        <w:t>E. 6.2</w:t>
      </w:r>
    </w:p>
    <w:p>
      <w:r>
        <w:t>Aux termes de l’art. 431 al. 1 CPP, si le prévenu a, de manière illicite, fait l’objet de mesures de contrainte, l’autorité pénale lui alloue une juste indemnité en réparation du tort moral. S’agissant du mode et de l’étendue de l’indemnisation fondée sur les art. 429 ss CPP, il n’est pas exclu de s’inspirer des règles générales des art. 41 ss CO (Wehrenberg/Berhard, Basler Kommentar, Schweizerische Straf- prozessordnung, Jugendstrafprozessordnung, 2 e éd., Bâle 2014, n. 9 ad art. 431 CPP). Ces dispositions accordent au juge un large pouvoir d’appréciation, que le Tribunal fédéral ne revoit qu’avec retenue.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consid. 6.5.1 ; TF 6B_1395/2016 du 27 octobre 2017 consid. 1.1 et les références). Il appartient au demandeur d'invoquer et de prouver les atteintes subies (ATF 135 IV 43 consid. 4.1 ; ATF 117 IV 209 consid. 4b).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précité et les références ; ATF 113 Ib 155 consid. 3b ;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 2 par rapport au standard recommandé (TF 6B_1057/2015 du 25 mai 2016 consid. 5.3).</w:t>
      </w:r>
    </w:p>
    <w:p>
      <w:r>
        <w:rPr>
          <w:b/>
        </w:rPr>
        <w:t>E. 6.3</w:t>
      </w:r>
    </w:p>
    <w:p>
      <w:r>
        <w:t>En l’espèce, la question d’une indemnité fondée sur l’art. 429 al. 1 let. c CPP ne se pose pas, puisque l’appelant est condamné à une peine privative de liberté de 3 mois et qu’il a été détenu pendant une durée inférieure. En revanche, l’appelant a été détenu durant 23 jours en zone carcérale, soit dans des conditions de détention illicites. Un montant de l’ordre de 30 fr. par jour étant adéquat pour une détention dans des conditions illicites en zone carcérale, c’est une indemnité de 690 fr. qui sera allouée au prévenu pour compenser concrètement le tort moral subi.</w:t>
      </w:r>
    </w:p>
    <w:p>
      <w:r>
        <w:rPr>
          <w:b/>
        </w:rPr>
        <w:t>E. 7.1</w:t>
      </w:r>
    </w:p>
    <w:p>
      <w:r>
        <w:t>L’appelant invoque enfin une violation de son droit d’être entendu. Il soutient que le procès-verbal de l’audience du 18 décembre 2020 relate plusieurs incidents, savoir qu’il a été demandé à l’avocate-stagiaire E.________ de quitter une première fois la salle d’audience afin de s’entretenir avec lui, de sorte que l’audition d’Y.________ se serait déroulée sans sa présence et celle de son conseil, puis que son conseil a été prié de quitter une seconde fois la salle d’audience afin de produire un bordereau de pièces mis « en ordre », de sorte que l’instruction se serait à nouveau poursuivie sans sa présence et celle de son conseil.</w:t>
      </w:r>
    </w:p>
    <w:p>
      <w:r>
        <w:rPr>
          <w:b/>
        </w:rPr>
        <w:t>E. 7.2</w:t>
      </w:r>
    </w:p>
    <w:p>
      <w:r>
        <w:t>Aux termes de l’art. 147 CPP, les parties ont le droit d’assister à l’administration des preuves par le ministère public et les tribunaux et de poser des questions aux comparants. La présence des défenseurs lors des interrogatoires de police est régie par l’art. 159 CPP (al. 1). Une partie ou son conseil juridique peuvent demander que l’administration des preuves soit répétée lorsque, pour des motifs impérieux, le conseil juridique ou la partie non représentée n’a pas pu y prendre part (…) (al. 3). Les preuves administrées en violation du présent article ne sont pas exploitables à la charge de la partie qui n’était pas présente (al. 4). Le droit d'être entendu, tel qu'il est garanti par l'art. 29 al. 2 Cst. (Constitution fédérale de la Confédération suisse du 18 avril 1999 ;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 TF 6B_818/2020 du 19 janvier 2021 consid. 2.1).</w:t>
      </w:r>
    </w:p>
    <w:p>
      <w:r>
        <w:rPr>
          <w:b/>
        </w:rPr>
        <w:t>E. 7.3</w:t>
      </w:r>
    </w:p>
    <w:p>
      <w:r>
        <w:t>En l’espèce, il ne ressort pas du procès-verbal que l’avocate-stagiaire E.________ aurait été priée de quitter la salle d’audience afin de s’entretenir avec son client. Le procès-verbal fait foi de son contenu tant que son inexactitude n’est pas démontrée (art. 76 al. 3 CPP ; Moreillon/Parein-Reymond, Petit Commentaire, Code de procédure pénale, 2 e éd., Bâle 2016, n. 2, remarques préliminaires), démonstration qui n’est en l’espèce nullement fournie par les simples allégations de l’appelant. De plus, celui-ci n'a pas formellement requis de rectification du procès-verbal au sens de l'art. 79 al. 2 CPP. En revanche, le procès-verbal mentionne ce qui suit (jugement, pp. 8-9) : « Il apparaît que les pièces produites par le défenseur de X.________ sont en vrac, incompréhensibles et qu’il n’appartient pas au Tribunal de faire le tri. Le prévenu et son avocate sont donc reconvoqués pour 10h30 avec la présentation des pièces mises en ordre. Me E.________ et X.________ sortent de la salle d’audience. Dans l’intervalle, l’instruction se poursuit et s’achève pour Y.________. Y.________ déclare ce qui suit : Je n’ai pas mon permis B sur moi. Je vous présente un permis de conduire daté de 2013. Lu et confirmé (…). Me P.________ dépose des notes de plaidoiries, versées au dossier sous n o 91. L’audience est suspendue à 09h40, Y.________ et Me P.________ étant informés qu’elle sera reprise à 10h15, ce jour. L’audience publique est reprise à 10h20. Sont présents : Y.________, Me P.________, X.________ et Me E.________. Me E.________ reproduit le lot de pièces – produit en début d’audience – sous forme de bordereau mis en ordre, versé au dossier sous n o 93, copie étant remise à Me P.________. » La violation invoquée n’a eu aucune incidence sur les droits de l’appelant. Il ressort en effet clairement de l’extrait du procès-verbal précité que l’instruction sur les faits était close avant que l’appelant et son conseil ne quittent la salle et que, durant leur absence, le tribunal s’est limité à procéder à une brève instruction sur la situation personnelle d’Y.________, avant de suspendre l’audience et de la reprendre en présence de toutes les parties. En outre, ni l’appelant ni son conseil n’ont requis de la direction de la procédure la répétition de l’administration des preuves intervenue en leur absence (art. 147 al. 3 CPP), ce qu’il leur appartenait d’entreprendre s’ils souhaitaient s’en plaindre par la suite (TPF BB.2011.48 du 5 septembre 2011 consid. 1.2). On constate encore que lors de l’interrogatoire d’Y.________, l’appelant n’a posé ou fait poser aucune question à l’intéressé. Il résulte de ce qui précède que le moyen invoqué par l’appelant contrevient au principe de la bonne foi (TF 6B_836/2014 du 30 janvier 2015). De toute manière, même si un tel vice de procédure avait été constaté, celui-ci aurait pu être réparé au cours des débats d’appel en vertu du plein pouvoir de cognition en fait et en droit de la Cour de céans. Pour le surplus, on observera que ni l’appelant ni son conseil n’ont posé de questions à Y.________ au cours des débats d’appel. Appel d’Y.________</w:t>
      </w:r>
    </w:p>
    <w:p>
      <w:r>
        <w:rPr>
          <w:b/>
        </w:rPr>
        <w:t>E. 8</w:t>
      </w:r>
    </w:p>
    <w:p>
      <w:r>
        <w:t>L’appelant conteste sa qualité de coauteur du vol et soutient qu’il faudrait appliquer l’art. 172 ter CP, de sorte qu’il devrait être condamné, au pire des cas, à une amende. Tout ce qui a été retenu ci-dessus concernant la participation au crime de X.________ et l’art. 172 ter CP peut être repris mutatis mutandis pour l’appelant (à l’exception que c’est lui qui conduisait le véhicule de X.________), à savoir que les prévenus sont coauteurs de l’infraction et avaient pour objectif de voler pour un montant supérieur à 300 francs.</w:t>
      </w:r>
    </w:p>
    <w:p>
      <w:r>
        <w:rPr>
          <w:b/>
        </w:rPr>
        <w:t>E. 9</w:t>
      </w:r>
    </w:p>
    <w:p>
      <w:r>
        <w:t>Concernant la peine et sa quotité, l’appelant a été condamné le 5 avril 2011 pour violence ou menace contre les autorités et les fonctionnaires, mais il n’a pas su tirer les enseignements de cette première condamnation. Son expédition criminelle n’a pris fin que parce qu’il a été arrêté. Avant d’admettre les faits, il a d’abord nié toute implication et surtout rejeté toute la faute sur Z.________ (PV aud. 2). Le comportement de l’appelant est en outre incompréhensible dès lors qu’il paraît pourtant bien intégré en Suisse depuis plusieurs années, parlant français, travaillant et vivant avec sa concubine et leurs deux enfants. Il est d’ailleurs lui-même incapable d’expliquer les raisons de son attitude. Des motifs de prévention spéciale dictent par conséquent le prononcé d’un genre de peine dissuasif prenant la forme d’une peine privative de liberté. Procédant à sa propre appréciation, la Cour considère qu’une peine privative de liberté de 3 mois est adéquate. Vu l’écoulement du temps et le fait que l’appelant travaille, le pronostic quant à son comportement futur n'apparaît pas défavorable. Il s'ensuit que la peine privative de liberté de 3 mois sera assortie d'un délai d'épreuve de 3 ans compte tenu de l’antécédent. Dès lors que la peine privative de liberté est assortie du sursis, il se justifie de prononcer une amende à titre de sanction immédiate (art. 42 al. 4 CPP). Vu son salaire mensuel net d’environ 4'000 fr. et celui de sa concubine de 2'500 fr., la quotité de l’amende par 400 fr. et la conversion en 8 jours de peine privative de liberté en cas de non-paiement fautif dans le délai imparti sont adéquats et peuvent être confirmés.</w:t>
      </w:r>
    </w:p>
    <w:p>
      <w:r>
        <w:rPr>
          <w:b/>
        </w:rPr>
        <w:t>E. 10</w:t>
      </w:r>
    </w:p>
    <w:p>
      <w:r>
        <w:t>Au cours de l’audience d’appel, l’appelant a conclu à l’octroi d’une indemnité de 13'600 fr. pour détention injustifiée, soit 200 fr. par jour pour 54 jours de détention provisoire, dont 14 à comptabiliser à double compte tenu des conditions de détention illicites. Il a également conclu à l’octroi d’une indemnité de 10'000 fr. pour perte de gain et dommage moral. En l’espèce, la question d’une indemnité fondée sur l’art. 429 al. 1 let. b et c CPP (perte de gain et dommage moral) ne se pose pas, puisque l’appelant est condamné à une peine privative de liberté de 3 mois et qu’il a été détenu pendant une durée inférieure. En revanche, l’appelant a été détenu durant 27 jours en zone carcérale, soit dans des conditions de détention illicites, étant précisé qu’il se méprend en soutenant qu’il a été détenu pendant 54 jours (au lieu de 51), puisqu’il a été arrêté le 26 juillet 2018, soit trois jours après ses deux comparses. Un montant de l’ordre de 30 fr. par jour étant adéquat pour une détention dans des conditions illicites en zone carcérale, c’est une indemnité de 810 fr. qui sera allouée au prévenu pour compenser concrètement le tort moral subi. Recours de Me O.________</w:t>
      </w:r>
    </w:p>
    <w:p>
      <w:r>
        <w:rPr>
          <w:b/>
        </w:rPr>
        <w:t>E. 11.1</w:t>
      </w:r>
    </w:p>
    <w:p>
      <w:r>
        <w:t>Concernant son indemnité d’office, Me O.________ soutient que le tribunal a arbitrairement retranché un montant de 3'354 fr. 50 de celui réclamé à hauteur de 8'682 fr. 40. Il allègue que la cause n’était pas simple, du moins initialement en raison du risque d’expulsion de son client du territoire suisse, et qu’il a été en contact très régulièrement avec les membres de la famille du prévenu, notamment son épouse qui s’est retrouvée totalement démunie lorsque son mari a été incarcéré.</w:t>
      </w:r>
    </w:p>
    <w:p>
      <w:r>
        <w:rPr>
          <w:b/>
        </w:rPr>
        <w:t>E. 11.2</w:t>
      </w:r>
    </w:p>
    <w:p>
      <w:r>
        <w:t>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141 I 124 ; TF 6B_745/2009 du 12 novembre 2009 consid. 10.1). Dans le canton de Vaud, l’indemnité horaire de l’avocat d’office breveté est fixée à 180 fr. et celle de l’avocat-stagiaire à 110 fr. (art. 2 al. 1 let. a et b RAJ [règlement sur l'assistance judiciaire en matière civile du 7 décembre 2010 ; BLV 211.02.3] par renvoi de l’art. 26b TFIP [tarif des frais de procédure et indemnités en matière pénale du 28 septembre 2010 ; BLV 312.03.1]).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19 octobre 2020/813). Un autre critère à retenir quant à la fixation de la rémunération du mandataire d’office est celui de l’expérience de l’avocat. Certes, la jurisprudence fédérale passe parfois ce facteur sous silence (TF 6B_745/2009 du 12 novembre 2009). D’autres arrêts retiennent toutefois expressément ce critère, pour mettre en exergue qu’un avocat expérimenté, par opposition, notamment, à un stagiaire (ATF 137 III 185 consid. 6 ; ATF 109 Ia 107 consid. 3c ; TF 6B_856/2014 du 10 juillet 2015 consid. 2.4 in fine ; TF 6B_810/2010 du 25 mai 2011 ; TF 6B_947/2008 du 16 janvier 2009 consid. 5.2 et 5.3), a besoin de particulièrement peu de temps pour effectuer certaines opérations, en particulier les recherches juridiques (CREP 19 octobre 2020/813 ; CREP 4 juillet 2017/442 consid. 3.1). De jurisprudence constante, il convient de retrancher toutes les réceptions de mémos et de lettres qui n'impliquent qu'une lecture cursive et brève (CAPE 8 décembre 2020/460 consid. 7.3 ; CREP 19 octobre 2020/813 ; CREP 4 juillet 2017/442 consid. 3.1). La confection de bordereaux, les « frais forfaitaires de secrétariat », les frais d’ouverture du dossier, le temps consacré à faire des photocopies et les simples courriers de transmission sont du travail de secrétariat et n’ont pas à être indemnisés comme du travail d’avocat (CREP 15 mars 2021/314 ; CREP 1 er mars 2021/193 ; CREP 9 février 2021/118 ; CAPE 8 décembre 2020/460 consid. 7.3 ; CREP 19 octobre 2020/813).</w:t>
      </w:r>
    </w:p>
    <w:p>
      <w:r>
        <w:rPr>
          <w:b/>
        </w:rPr>
        <w:t>E. 11.3</w:t>
      </w:r>
    </w:p>
    <w:p>
      <w:r>
        <w:t>En l’espèce, le recourant a produit une liste des opérations indiquant 29h11 effectuées par lui-même et 17h11 effectuées par les avocats-stagiaires. Le tribunal a retenu que la cause était simple et ne justifiait pas toutes les heures annoncées. Il a retenu 3h pour les conférences, 7,5h pour les audiences, 6h pour la correspondance, 3h pour les téléphones, 1h pour l’étude du dossier et 1h pour la préparation de l’audience, le tout arrondi à 23 heures. A l’instar du premier juge, il convient tout d’abord de relever que l’affaire ne présentait aucune difficulté particulière, ni en fait ni en droit. Tous les téléphones inscrits sous les rubriques « belle-sœur », « Caritas » et « assistant social », au nombre de 23, ne sont pas indemnisables car ne relevant pas de la mission de l’avocat. Pour les autres téléphones, au nombre de 20, il sera retenu une durée forfaitaire de 5 minutes par téléphone par mesure de simplification, soit 1h40. Toutes les rubriques « lettre au client », au nombre de 31, ne seront pas indemnisées, d’une part parce qu’on ne saisit pas l’utilité d’écrire au prévenu dans la mesure où il ne maîtrise pas le français et a eu besoin des services d’un interprète tout au long de la procédure, d’autre part dans la mesure où il s’agit de simples avis de transmission. De même, il ne sera pas tenu compte des rubriques « lettre à Me P.________ » et « lettre à Me [...]», au nombre de 12, qui se suivent en duo dans le time-sheet et qui sont à l’évidence de simples avis de transmission, soit un travail de pur secrétariat. Pour les autres lettres, au nombre de 16, il sera retenu une durée forfaitaire de 10 minutes par lettre, soit 2h40. Il ne sera pas non plus tenu compte des postes « e-mail », majoritairement adressés au client, parfois à l’interprète, qui s’assimilent, sans plus de précisions, à du travail de secrétariat non indemnisable. Il sera retenu 3h pour les deux auditions devant le Tribunal des mesures de contrainte avec la préparation du dossier, 6h pour les auditions devant la police et le Ministère public avec la préparation du dossier, 6h50 pour la préparation de l’audience de jugement, l’audience et la lecture du jugement, et 1h pour les opérations post-jugement. En définitive, il sera retenu 21h10 d’activité (1h40 + 2h40 + 3h + 6h + 6h50 + 1h). La préparation de l’audience de jugement, l’audience et l’assistance à la lecture du jugement ont été assumées par un avocat-stagiaire à 110 fr. l’heure, ce qui équivaut à 751 fr. 65. Le solde de 14h20 (21h10 – 6h50) a été effectué par un avocat à 180 fr. l’heure, ce qui équivaut à 2'580 francs. Le défraiement s’élève ainsi au total à 3'331 fr. 65. S’y ajoutent 5 % pour les débours (art. 3bis al. 1 RAJ par renvoi de l’art. 26b TFIP), soit 166 fr. 60, quatre vacations à 120 fr. et une vacation à 80 fr. (art. 3bis al. 3 RAJ par renvoi de l’art. 26b TFIP), ainsi que 7,7 % de TVA sur le tout, ce qui représente 4'370 fr. 75, montant inférieur à ce qui a été alloué par le premier juge. Recours de Me P.________</w:t>
      </w:r>
    </w:p>
    <w:p>
      <w:r>
        <w:rPr>
          <w:b/>
        </w:rPr>
        <w:t>E. 12</w:t>
      </w:r>
    </w:p>
    <w:p>
      <w:r>
        <w:t>Le recourant conteste l’indemnité allouée et réclame 36,5h de travail effectuées par lui-même et 5h de travail effectuées par l’avocate-stagiaire. Il soutient en substance que le premier juge aurait méconnu la réalité du travail d’avocat et l’importance du temps effectivement consacré à la cause de son client. En l’espèce, il est impossible de déterminer, sur la seule base du « récapitulatif des opérations de l’avocat commis d’office au pénal » produit par le recourant, la part facturable des rubriques « correspondances, courriels » et « téléphones ». En tant que tels, les correspondances et courriels ne sont pas du travail d’avocat et ne sont donc pas indemnisables. Il en va de même concernant les conversations téléphoniques, d’autant que le recourant concède lui-même avoir effectué un travail d’« assistant social » en consacrant l’essentiel des conversations à rassurer les proches du prévenu. Par ailleurs, il est évident, au vu du temps important affecté aux correspondances et téléphones, qu’une majorité d’entre eux correspond à du travail de secrétariat, non indemnisable ou sortant de la mission assignée au défenseur d’office. Il ne sera pas davantage tenu compte du temps consenti par l’avocate-stagiaire à la rédaction d’un mémoire de droit : d’abord, les questions juridiques à résoudre (application ou non de l’art. 172 ter CP, complicité versus coaction) sont maîtrisées par un avocat chevronné qui n’a pas à consentir un temps important pour présenter une défense efficace ; ensuite, le prévenu, débiteur de l’indemnité de son défenseur d’office, n’a pas à assumer la formation de l’avocate-stagiaire de son mandataire. A complexité factuelle et juridique égales, le premier juge pouvait sans arbitraire fixer une rémunération identique aux mandataires des deux appelants. D’ailleurs, on observe que les deux recourants réclament une indemnité quasi similaire, soit 8'680 fr. pour Me O.________ et 8'050 fr. pour Me P.________, audience non comprise. En définitive et au vu des considérations qui précèdent, il y a lieu de prendre en compte 21h10 d’activité pour Me P.________, comme retenu pour Me O.________. Au tarif horaire de 180 fr., le défraiement s’élève à 3'810 fr., auquel il faut ajouter 5 % pour les débours, soit 190 fr. 50, cinq vacations à 120 fr. et 7,7 % de TVA sur le tout, soit au total une indemnité de 4'954 fr. 75, montant à nouveau inférieur à ce qui a été alloué par le premier juge. Conclusions, frais et indemnités</w:t>
      </w:r>
    </w:p>
    <w:p>
      <w:r>
        <w:rPr>
          <w:b/>
        </w:rPr>
        <w:t>E. 13</w:t>
      </w:r>
    </w:p>
    <w:p>
      <w:r>
        <w:t>En définitive, les appels de X.________ et d’Y.________ doivent être partiellement admis et les recours de Me O.________ et de Me P.________ rejetés, le jugement entrepris étant réformé dans le sens des considérants qui précèdent. Me O.________ a produit une liste des opérations indiquant 10h25 de travail d’avocat, audience d’appel comprise, et 2h46 de travail d’avocats-stagiaires. On peut également déduire du nombre important de lettres et courriels adressés au client que la majorité d’entre eux sont de simples avis de transmission. Par conséquent, il sera retenu 11h d’activité pour les opérations nécessaires au traitement de l’appel. Au tarif horaire de 180 fr., le défraiement s’élève à 1’980 fr., auquel il faut ajouter 2 % pour les débours, soit 39 fr. 60, une vacation à 120 fr. et 7,7 % de TVA sur le tout, soit au total une indemnité de 2'304 fr. 35. Comme pour la procédure de première instance, il sera alloué la même indemnité à Me P.________, qui n’a par ailleurs pas produit de liste des opérations à l’audience d’appel. Vu l’issue de la cause, les frais communs de la procédure d’appel, fixés à 2’930 fr. (art. 21 al. 1 et 2 TFIP), seront mis par 3/12 es à la charge de X.________, qui succombe partiellement (art. 428 al. 1 CPP), par 3/12 es à la charge d’Y.________, qui succombe partiellement, par 1/12 e à la charge de Me O.________, qui succombe (art. 428 al. 1 CPP), et par 1/12 e à la charge de Me P.________, qui succombe, le solde étant laissé à la charge de l’Etat. Concernant les frais propres à chaque appelant, l’indemnité de défenseur d’office allouée à Me O.________, par 2'304 fr. 35, sera mise par deux tiers à la charge de X.________, le solde étant laissé à la charge de l’Etat. L’indemnité de défenseur d’office allouée à Me P.________, par 2'304 fr. 35, sera mise par deux tiers à la charge d’Y.________, le solde étant laissé à la charge de l’Etat. X.________ ne sera tenu de rembourser à l’Etat les deux tiers de l’indemnité en faveur de son défenseur d’office que lorsque sa situation financière le permettra (art. 135 al. 4 CPP). Y.________ ne sera tenu de rembourser à l’Etat les deux tiers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