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339 vom 19. März 2021</w:t>
      </w:r>
    </w:p>
    <w:p>
      <w:r>
        <w:t>VD Tribunal cantonal, 2021-03-19, FR</w:t>
      </w:r>
    </w:p>
    <w:p>
      <w:r>
        <w:rPr>
          <w:b/>
        </w:rPr>
        <w:t xml:space="preserve">Quelle: </w:t>
      </w:r>
      <w:r>
        <w:t>https://mcp.opencaselaw.ch/entscheid/vd_findinfo_Jug___2021___339</w:t>
      </w:r>
    </w:p>
    <w:p>
      <w:r>
        <w:t>FR: VD_FINDINFO Jug / 2021 / 339 du 19 mars 2021</w:t>
      </w:r>
    </w:p>
    <w:p>
      <w:r>
        <w:t>IT: VD_FINDINFO Jug / 2021 / 339 del 19 marzo 2021</w:t>
      </w:r>
    </w:p>
    <w:p>
      <w:pPr>
        <w:pStyle w:val="Heading2"/>
      </w:pPr>
      <w:r>
        <w:t>Regeste</w:t>
      </w:r>
    </w:p>
    <w:p>
      <w:r>
        <w:t>EXCÈS DE VITESSE, PRÉSOMPTION D'INNOCENCE | 90 al. 2 LCR, 10 CPP (CH)</w:t>
      </w:r>
    </w:p>
    <w:p>
      <w:pPr>
        <w:pStyle w:val="Heading2"/>
      </w:pPr>
      <w:r>
        <w:t>Erwägungen</w:t>
      </w:r>
    </w:p>
    <w:p>
      <w:r>
        <w:rPr>
          <w:b/>
        </w:rPr>
        <w:t>E. 1</w:t>
      </w:r>
    </w:p>
    <w:p>
      <w:r>
        <w:t>Interjeté dans les formes et délais légaux (art. 399 CPP), contre le jugement d’un tribunal de première instance qui a clos la procédure (art. 398 al. 1 CPP), par une partie qui a qualité pour recourir (art. 382 al. 1 CPP), l'appel est recevable.</w:t>
      </w:r>
    </w:p>
    <w:p>
      <w:r>
        <w:rPr>
          <w:b/>
        </w:rPr>
        <w:t>E. 2</w:t>
      </w:r>
    </w:p>
    <w:p>
      <w:r>
        <w:t>e éd., Bâle 2014, n. 1 ad art. 398 CPP).</w:t>
      </w:r>
    </w:p>
    <w:p>
      <w:r>
        <w:rPr>
          <w:b/>
        </w:rPr>
        <w:t>E. 3.1</w:t>
      </w:r>
    </w:p>
    <w:p>
      <w:r>
        <w:t>L'appelant ne discute pas les faits concernés s'agissant de l'excès de vitesse constaté par la gendarmerie, ni la qualification d'infraction grave aux règles de la circulation routière, ni la peine. L'appelant plaide la violation de la présomption d'innocence, faisant valoir qu'il n'était pas le conducteur du véhicule en cause, même s'il admet en être le détenteur. Il soutient que le conducteur peut être un membre de sa famille, de son entourage ou de ses amis dont il serait en droit de taire l'identité conformément aux art. 168 et 169 CPP. Par rapport aux éléments de preuve, l'appelant admet avoir oublié son téléphone portable dans sa voiture, sans que cela puisse pour autant signifier qu'il était au volant au moment des faits qui lui sont reprochés. Il conteste les propos tenus par le procureur aux débats, lequel a indiqué au président d'audience que l'appelant lui aurait déclaré, lors de son audition du</w:t>
      </w:r>
    </w:p>
    <w:p>
      <w:r>
        <w:rPr>
          <w:b/>
        </w:rPr>
        <w:t>E. 3.2.1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3.2.2</w:t>
      </w:r>
    </w:p>
    <w:p>
      <w:r>
        <w:t>Selon la jurisprudence, le conducteur d'un véhicule automobile ne saurait se voir condamner à une infraction de la loi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JdT 1980 I 450 ; ATF 105 Ib 116 consid. 1 ; TF 6B_914/2015 du 30 juin 2016 consid. 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(TF 6B_562/2010 du 28 octobre 2010 consid. 2.1.2 et les références citées ; TF 6B_237/2015 du 16 février 2016 consid. 2.1). Il arrive fréquemment qu'une infraction soit constatée sur un véhicule sans que l'on puisse identifier la personne qui en était le conducteur au moment des faits. Ce sera le cas, notamment, pour les infractions sont constatés par des appareils automatiques : dans tous les cas, l'autorité ne pourra, la plupart du temps, que connaître le numéro de plaque et, partant, le titulaire du permis de circulation du véhicule qui est présumé être le détenteur (Jeanneret, Les dispositions pénales de la Loi sur la circulation routière (LCR [Loi fédérale sur la circulation routière du 19 décembre 1958 ; RS 741.01]), Berne 2007, p. 14, Définitions n. 39). Selon la jurisprudence, la qualité de détenteur crée un indice de culpabilité suffisant appelant des explications de la part de celui-ci, la jurisprudence de la CEDH admettant que l'on puisse tirer des conclusions en défaveur de l'accusé à raison de son silence, parce qu'il existe des éléments de preuve tels qu'ils appellent raisonnablement des explications de sa part. Un simple silence peut ainsi suffire à amener le juge à considérer que le détenteur était le conducteur, sauf si ce dernier fournit un minimum d'explications plausibles, comme la preuve de sa présence à un autre endroit au moment des faits ou la démonstration que le véhicule est à disposition d'un nombre indéterminé de personnes (Jeanneret, op. cit., p. 15, Définitions n. 41 ; CAPE 24 juin 2020/255 ; CAPE 15 janvier 2014/7 ; CAPE 20 juin 2011/64).</w:t>
      </w:r>
    </w:p>
    <w:p>
      <w:r>
        <w:rPr>
          <w:b/>
        </w:rPr>
        <w:t>E. 3.2.3</w:t>
      </w:r>
    </w:p>
    <w:p>
      <w:r>
        <w:t>Conformément à l'art. 90 LCR,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Plus la violation de la règle de la circulation est objectivement grave, plus on admettra l'existence d'une absence de scrupules, sauf indice particulier permettant de retenir le contraire (ATF 142 IV 93 précité). Dans le domaine des excès de vitesse, afin d'assurer l'égalité de traitement, la jurisprudence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ATF 124 II 259 consid. 2b ; TF 6B_326/2017 du 20 novembre 2017 consid. 1.1). Le conducteur qui dépasse de manière aussi caractérisée la vitesse autorisée agit intentionnellement ou à tout le moins par négligence grossière. Il existe un lien étroit entre la violation objectivement grave et l'absence de scrupules sous l'angle subjectif, sous réserve d'indices contraires spécifiques (TF 6B_326/2017 précité ; TF 6B_3/2014 du 28 avril 2014 consid. 1.1 ; TF 6B_1011/2013 du 13 mars 2014 consid. 2.1).</w:t>
      </w:r>
    </w:p>
    <w:p>
      <w:r>
        <w:rPr>
          <w:b/>
        </w:rPr>
        <w:t>E. 3.3</w:t>
      </w:r>
    </w:p>
    <w:p>
      <w:r>
        <w:t>Pour asseoir sa conviction quant à la culpabilité de l'appelant vis-à-vis des faits qui lui sont reprochés, le premier juge a, en substance, retenu les éléments qui suivent : l'appelant est le détenteur du véhicule impliqué ; son téléphone portable se trouvait dans le véhicule au moment des faits ; l'absence de tout élément probant démontrant que l'appelant était à son domicile au moment des faits rend possible son implication dans la commission de l'infraction ; le cercle des personnes ayant pu avoir accès à son véhicule est restreint ; les déclarations de l'appelant ne sont pas crédibles. Le premier juge a ensuite considéré que ces éléments, pris dans leur ensemble, constituaient un faisceau d'indices qui permettait de conclure que l'appelant était bel et bien le conducteur du véhicule contrôlé, malgré ses dénégations. Avec le premier juge et conformément à la jurisprudence rappelée ci-dessus, il y a lieu de retenir que l'appelant était tenu de fournir un minimum d'explications, tant en ce qui concerne sa présence à son domicile au moment des faits que sur la mise à disposition de son véhicule à des tiers, sa qualité de détenteur constituant un indice important à même d'établir son implication, ce d'autant que son téléphone portable se trouvait dans l'habitacle à l'instant critique. Etant rentré à son domicile avec le véhicule concerné, l'appelant ne pouvait se contenter de dire qu'il était seul dans son jardin au moment des faits tout en déclarant n'avoir jamais questionné son épouse ou ses parents pour savoir qui aurait pu conduire son véhicule ce jour-là, immédiatement après lui. Comme l'a retenu l'autorité de première instance, l'appelant n'est pas crédible lorsqu'il affirme n'avoir posé aucune question à ses proches à ce sujet alors qu'il fait l'objet d'une procédure pénale dont il ne relativise pas l'importance des enjeux, ayant expliqué ne pas pouvoir se passer de son permis de conduire en raison de graves problèmes de santé qui lui interdiraient de prendre les transports publics (cf. procès-verbal de l'audience de jugement, p. 5, 3 ème paragraphe). Si un tiers avait réellement conduit son véhicule comme il le soutient, l'appelant l'aurait inévitablement croisé en rentrant chez lui. A tout le moins, il en aurait déterminé aisément l'identité par la suite, probablement déjà au retour de son véhicule. Au vu du cercle extrêmement limité des personnes pouvant avoir accès à son véhicule, à savoir son épouse ou ses parents, l'appelant ne pouvait donc soutenir sérieusement à l'audience de jugement ne pas savoir qui aurait conduit sa voiture lors des faits. Ses déclarations sont dénuées de toute crédibilité à cet égard, même s'il pouvait invoquer les art. 168 et 169 CPP pour refuser de dévoiler l'identité de prétendus tiers impliqués. Au surplus, on peut mentionner que si le conducteur avait été un de ses amis, thèse qui doit également être écartée en raison l’absence de crédibilité des déclarations de l'appelant, ce dernier n'aurait pas été en droit de taire son identité, les articles 168 et 169 CPP n'étant pas applicables dans cette hypothèse, ce que ne pouvait ignorer son défenseur. Partant, les indices retenus par le premier juge pour fonder la culpabilité de l'appelant, appréciés dans leur ensemble, ne prêtent pas le flanc à la critique, de sorte que le verdict de culpabilité doit être confirmé. Pour le surplus, il y a lieu de confirmer que l’excès de vitesse en cause, de 38 km/h hors localité, marge de sécurité déduite, remplit objectivement la condition du cas grave. Subjectivement, il faut considérer que l’appelant était parfaitement conscient de l’excès de vitesse qu’il commettait, respectivement du caractère dangereux de son comportement. La violation grave des règles de la circulation routière au sens de l’art. 90 al. 2 LCR, au demeurant non contestée, doit par conséquent être également confirmée. 4. 4.1 Concluant à son acquittement, l’appelant ne conteste pas la sanction infligée. Celle-ci sera néanmoins vérifiée d’office.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6B_1463/2019 du 20 février 2020 consid. 2.1.1). 4.2.3 Selon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 4.2.4 Selon l’art. 106 al. 1 CP, sauf disposition contraire de la loi, le montant maximum de l’amende est de 10'000 francs. Selon l’art. 106 al. 3 CP, le juge fixe l’amende et la peine privative de liberté de substitution en tenant compte de la situation de l’auteur afin que la peine corresponde à la faute commise.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4.3 En l’espèce, il faut constater, avec le premier juge, que le lieu de l'excès de vitesse, à savoir une route hors localité généralement peu fréquentée, ne présente pas de risques particuliers. Par ailleurs, l’appelant n’a pas d’antécédents, ni d’inscription au casier judiciaire. Il n’existe ainsi pas de facteurs aggravants justifiant une peine plus lourde que celle qui s'impose pour l'immense majorité des conducteurs sanctionnés dans des circonstances similaires selon les Recommandations LCR adoptées par la Conférence des procureurs de Suisse et la Directive n° 5.1 du Procureur général, lesquelles – si elles n'ont pas force de loi et ne lient aucunement le juge pénal, comme l’a souligné le premier juge, permettent néanmoins d'assurer une certaine harmonisation des peines en matière de circulation routière –, prévoient une sanction de 30 jours-amende pour un dépassement compris entre 35 et 39 km/h hors localité, marge de sécurité déduite. La peine pécuniaire de 30 jours-amende prononcée par le premier juge peut donc être confirmée. Quant au montant du jour-amende fixé à 300 fr., celui-ci apparaît bien en-dessous des critères légaux applicables compte tenu de l’importance des revenus de l’appelant, qui atteignent 400'000 fr. par an. Elle doit cependant être confirmée en raison du principe de l’interdiction de la reformatio in pejus . L’octroi du sursis, et le délai d’épreuve de deux ans, ne prêtent en revanche pas le flanc à la critique. 5. Examinée d’office, l’amende prononcée à titre de sanction immédiate doit également être confirmée avec les mêmes observations que celles qui ont été formulées pour la peine pécuniaire. 6. La condamnation étant confirmée, il n’y a pas lieu de modifier le sort des frais de la procédure de première instance, que le Tribunal de police était fondé à mettre à la charge de l'appelant en application de l’art. 426 al. 1, 1 re phrase, CPP. Il n'y a en outre pas lieu d'allouer à ce dernier une indemnité au sens de l’art. 429 CPP, sa conclusion en ce sens étant dès lors également rejetée. 7. En définitive, l’appel doit être rejeté et le jugement du 19 mars 2021 confirmé. Vu l’issue de la cause, les frais d’appel, constitués en l’espèce de l’émolument d’arrêt, par 1’720 fr. (art. 21 al. 1 TFIP [Tarif des frais de procédure et indemnités en matière pénale du 28 septembre 2010 ; BLV 312.03.1]), seront mis à la charge de l’appelant, qui succombe (art. 428 al. 1 CPP).</w:t>
      </w:r>
    </w:p>
    <w:p>
      <w:r>
        <w:rPr>
          <w:b/>
        </w:rPr>
        <w:t>E. 8</w:t>
      </w:r>
    </w:p>
    <w:p>
      <w:r>
        <w:t>mars 2019, que son téléphone portable était en charge dans sa voiture. D'une part, il fait valoir que cet élément ne figure pas au procès-verbal de l'audition en cause et d'autre part que son défenseur, présent à ses côtés, a déclaré qu'il n’avait rien dit de la sorte. L'appelant considère par ailleurs que la jurisprudence citée par le premier juge ne correspondrait pas à sa situation et qu'il n'y a rien d'étrange dans le fait de ne pas s'apercevoir d'avoir oublié son téléphone durant 2 heures alors qu'il se trouvait dans son jardin pour se reposer, rappelant qu'il est malade et affirmant qu'il ne souffre d'aucune addiction au téléphone. Il estime encore n'avoir aucune obligation lui imposant de dénoncer ses proches. Innocent de ce qu'on l'accuse, il ne saurait être condamné à la place d'un autre, le fait d'avoir consulté un avocat ne pouvant constituer un indice de culpabilité comme l'aurait retenu de manière arbitraire selon lui le jugement attaqué. Enfin, l'appelant soutient que le fait de ne pas avoir interrogé son épouse, ne saurait non plus constituer un élément en sa défaveur.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