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334 vom 3. März 2021</w:t>
      </w:r>
    </w:p>
    <w:p>
      <w:r>
        <w:t>VD Tribunal cantonal, 2021-03-03, FR</w:t>
      </w:r>
    </w:p>
    <w:p>
      <w:r>
        <w:rPr>
          <w:b/>
        </w:rPr>
        <w:t xml:space="preserve">Quelle: </w:t>
      </w:r>
      <w:r>
        <w:t>https://mcp.opencaselaw.ch/entscheid/vd_findinfo_Jug___2021___334</w:t>
      </w:r>
    </w:p>
    <w:p>
      <w:r>
        <w:t>FR: VD_FINDINFO Jug / 2021 / 334 du 3 mars 2021</w:t>
      </w:r>
    </w:p>
    <w:p>
      <w:r>
        <w:t>IT: VD_FINDINFO Jug / 2021 / 334 del 3 marzo 2021</w:t>
      </w:r>
    </w:p>
    <w:p>
      <w:pPr>
        <w:pStyle w:val="Heading2"/>
      </w:pPr>
      <w:r>
        <w:t>Regeste</w:t>
      </w:r>
    </w:p>
    <w:p>
      <w:r>
        <w:t>LÉSION CORPORELLE GRAVE, LÉSION CORPORELLE SIMPLE, INFRACTION QUALIFIÉE, EMPÊCHEMENT{EN GÉNÉRAL}, REJET DE LA DEMANDE | 123 ch. 2 al. 1 CP, 125 al. 2 CP, 286 CP</w:t>
      </w:r>
    </w:p>
    <w:p>
      <w:pPr>
        <w:pStyle w:val="Heading2"/>
      </w:pPr>
      <w:r>
        <w:t>Erwägungen</w:t>
      </w:r>
    </w:p>
    <w:p>
      <w:r>
        <w:rPr>
          <w:b/>
        </w:rPr>
        <w:t>E. 1</w:t>
      </w:r>
    </w:p>
    <w:p>
      <w:r>
        <w:t>CPP), l’appel de F.________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6B_481/2020 précité).</w:t>
      </w:r>
    </w:p>
    <w:p>
      <w:r>
        <w:rPr>
          <w:b/>
        </w:rPr>
        <w:t>E. 3</w:t>
      </w:r>
    </w:p>
    <w:p>
      <w:r>
        <w:t>e éd. 2018, n. 10 ad art. 122 CP).</w:t>
      </w:r>
    </w:p>
    <w:p>
      <w:r>
        <w:rPr>
          <w:b/>
        </w:rPr>
        <w:t>E. 3.1</w:t>
      </w:r>
    </w:p>
    <w:p>
      <w:r>
        <w:t>L’appelant conteste que l’on puisse qualifier les lésions subies par A.Y.________ de lésions corporelles graves sur la foi des seules déclarations de celui-ci en audience et d’attestations de son médecin établies deux années après les faits, alors que les certificats médicaux établis juste après les faits auraient indiqué que l’état de santé de la partie plaignante était normal. L’appelant conteste également avoir eu l’intention de blesser ses assaillants et affirme qu’il n’aurait eu d’autre intention que de maintenir ceux-ci à distance. L’aspect intentionnel de l’art. 123 ch. 2 al. 1 CP ferait ainsi défaut.</w:t>
      </w:r>
    </w:p>
    <w:p>
      <w:r>
        <w:rPr>
          <w:b/>
        </w:rPr>
        <w:t>E. 3.2.1</w:t>
      </w:r>
    </w:p>
    <w:p>
      <w:r>
        <w:t>Aux termes de l'art. 122 CP,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 Sur le plan objectif, l'art. 122 CP suppose un comportement dangereux, une atteinte grave à l'intégrité physique ou à la santé, ainsi qu'un lien de causalité entre ces deux éléments; cette disposition définit une infraction de résultat, vise tout comportement par lequel l'auteur provoque des lésions graves à la victime (Rémy, in: Macaluso/ Moreillon/Quéloz [éd.], Commentaire romand, Code pénal II, 2017, nn. 2-3 ad art. 122 CP). Des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(TF 6B_422/2019 du 5 juin 2019 consid. 5.1;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TF 6B_514/2019 du 8 août 2019 consid. 2). Afin de déterminer si la lésion est grave, il faut procéder à une appréciation globale: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précité consid. 5.1 et les références).</w:t>
      </w:r>
    </w:p>
    <w:p>
      <w:r>
        <w:rPr>
          <w:b/>
        </w:rPr>
        <w:t>E. 3.2.2</w:t>
      </w:r>
    </w:p>
    <w:p>
      <w:r>
        <w:t>Sur le plan subjectif, l'art. 122 CP définit une infraction de nature intentionnelle. Le dol éventuel suffit (TF 6B_388/2012 du 12 novembre 2012 consid. 2.2.1; Rémy, op. cit., n. 14 s. ad art. 122 CP). L'intention de l'auteur doit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 par négligence (art. 125 al. 2 CP) en concours idéal parfait (ATF 134 IV 26 consid. 4; TF 6B_922/2018 du 9 janvier 2020, consid. 4.2; Rémy, op. cit., n. 15 ad art. 122 CP; Stratenwerth/Jenny/Bommer, Schweizerisches Strafrecht, Besonderer Teil I: Straftaten gegen Individualinteressen, 7e éd. 2010, n. 34 p. 75). Selon la jurisprudence, l'analyse de l'élément subjectif en matière de lésions corporelles résultant de coups de poing dépend des circonstances concrètes de chaque cas d'espèce. Parmi les critères déterminants à prendre en compte figurent la violence des coups portés et la constitution de la victime (TF 6B_388/2012 précité consid. 2.4.2). Le fait qu'un comportement apparaisse propre, dans l'abstrait, à causer des lésions corporelles (objectivement) graves au sens de l'art. 122 CP ne suffit pas sans autre à retenir l'intention (TF 6B_161/2016 du 12 octobre 2016 consid. 1.4.2). La fragilité de la victime ne peut être prise en compte que si elle était connue de l'auteur (TF 6B_922/2018 précité consid. 4.2; Trechsel/Geth, in Trechsel/Pieth, Schweizerisches Strafgesetzbuch, Praxiskommentar,</w:t>
      </w:r>
    </w:p>
    <w:p>
      <w:r>
        <w:rPr>
          <w:b/>
        </w:rPr>
        <w:t>E. 3.2.3</w:t>
      </w:r>
    </w:p>
    <w:p>
      <w:r>
        <w:t>A ux termes de l’art. 123 ch. 1 CP, celui qui, intentionnellement, aura fait subir à une personne une autre atteinte à l’intégrité corporelle ou à la santé sera, sur plainte, puni d’une peine privative de liberté de trois ans au plus ou d’une peine pécuniaire. Selon l’art. 123 ch. 2 al. 1 CP, la peine sera une peine privative de liberté de trois ans au plus ou une peine pécuniaire et la poursuite aura lieu d’office, si le délinquant a fait usage du poison, d’une arme ou d’un objet dangereux.</w:t>
      </w:r>
    </w:p>
    <w:p>
      <w:r>
        <w:rPr>
          <w:b/>
        </w:rPr>
        <w:t>E. 3.2.4</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w:t>
      </w:r>
    </w:p>
    <w:p>
      <w:r>
        <w:rPr>
          <w:b/>
        </w:rPr>
        <w:t>E. 3.3</w:t>
      </w:r>
    </w:p>
    <w:p>
      <w:r>
        <w:t>En l’espèce, lors de ses auditions des 7 décembre 2018 et 8 octobre 2019, F.________ a reconnu les faits qui lui sont reprochés. Il n’a en particulier pas contesté avoir frappé A.Y.________ avec un genre de piquet en bois qu’il avait trouvé dans la rue. Il conteste cependant que les lésions corporelles soient graves. Contrairement à ce que soutient le prévenu, la qualification de lésions corporelles graves ne repose pas uniquement sur les déclarations du plaignant. En effet, selon les preuves matérielles, A.Y.________ s’est fait examiner le 29 mai 2017, soit environ 48 heures après les faits. A ce moment, outre les lésions constatées sur les membres, au dos et à la tête, le plaignant présentait une hypoacousie gauche, le scanner mettant en évidence une fracture du rocher gauche passant par le labyrinthe avec des clartés aériques au sein de la cochlée et du vestibule.  Étaient également mentionnés, notamment, une pneumencéphalie témoignant d’une brèche ostéoméningée et un comblement de l’oreille moyenne gauche. Le plaignant a été hospitalisé en ORL (P 7). A.Y.________ consultera à nouveau en juin 2017 un médecin dans le Piémont pour un traumatisme crânien avec vertiges et pour ses problèmes ORL avec suspicion de fracture du rocher et du labyrinthe. A la suite de cette consultation, le Dr Vigone a établi un certificat médical duquel il ressort que, selon les scanner effectués, aucune fracture n’était constatée dans la région du labyrinthe, les éléments de la chaîne ossiculaire étant facilement reconnaissables (P. 10/3). Par ailleurs, selon le bilan clinique et otoneurologique effectué par le Dr Gagnebin en août 2019, le plaignant souffre d’une surdité de perception sévère du côté gauche avec une aréflexie vestibulaire gauche liée à une fracture trans-labyrinthique du rocher gauche. La perte auditive est permanente et liée à la fracture du rocher gauche qui a été causée par les coups sur la tête, sauf si le patient avait déjà eu un traumatisme préalable (p 39/2). Le constat d’une surdité totale du côté gauche, soit une altération définitive sera encore précisé par courrier du 14 mai 2020 du Dr Jacques-André Haury (P. 52/2). Au vu de ces éléments, et notamment de la gravité des lésions causées, c’est à juste titre que les premiers juges ont retenu que les lésions corporelles causées par F.________ sont graves et non pas simples au sens de la gradation prévue par le Code pénal. Le fait que l’atteinte porte sur un organe ou un sens que l’on a à double, en l’occurrence l’oreille, n’est par ailleurs pas de nature à faire perdre le caractère grave de l’atteinte et s’il est possible de recourir à un appareillage stéréophonique, une telle atteinte doit être considérée comme une atteinte grave à la santé (Roth/Berkemeier, in Basler Kommentar StGB, 2013, n. 13 ad art. 122 CP). En outre, la relation de causalité entre la surdité de A.Y.________ et les faits du 25 mai 2017 doit être retenue dès lors que la fracture du rocher gauche a été constatée immédiatement après les faits, sans mention d’une fracture antérieure. Peu importe que la fracture n’ait plus été plus visible au scanner en juin 2017. S’agissant de l’aspect intentionnel, F.________ ne peut prétendre qu’il n’avait pas l’intention de blesser mais seulement de tenir à distance. En effet, le constat médical du CURML du 29 mai 2017 fait état de plusieurs lésions (P. 7/1), ce qui n’est pas compatible avec la version de l’appelant ci-dessus rappelée. Ainsi, à l’instar des premiers juges, il convient de retenir que le comportement du prévenu était intentionnel s’agissant de lésions corporelles simples qualifiées, à tout le moins par dol éventuel, puisqu’en faisant des gestes de balayage avec un piquet en direction d’une personne, il prenait manifestement le risque de la blesser et ne pouvait qu’en être conscient. Cela étant, rien ne permet de retenir que le prévenu avait l’intention de commettre des lésions graves, celles-ci étant au contraire imputables à des circonstances d’espèce malheureuses, le piquet ayant été manipulé vers le bas et ayant touché le plaignant alors que celui-ci s’était baissé. C’est ainsi à juste titre que les premiers juges ont considéré que le prévenu devait être puni sur la base des art. 123 et 125 CP, en application concurrente.</w:t>
      </w:r>
    </w:p>
    <w:p>
      <w:r>
        <w:rPr>
          <w:b/>
        </w:rPr>
        <w:t>E. 4.1</w:t>
      </w:r>
    </w:p>
    <w:p>
      <w:r>
        <w:t>L’appelant plaide la légitime défense au sens de l’art. 15 CP. Il prétend ne pas avoir déterré un piquet, comme retenu par le Tribunal de police, mais l’avoir seulement ramassé au sol pour maintenir à distance ses deux assaillants agressifs auxquels il venait d’échapper à l’intérieur de la discothèque. Les deux assaillants n’auraient pas fui mais auraient cherché à en découdre alors qu’il avait le poteau en main, si bien que leurs intentions auraient été agressives.</w:t>
      </w:r>
    </w:p>
    <w:p>
      <w:r>
        <w:rPr>
          <w:b/>
        </w:rPr>
        <w:t>E. 4.2</w:t>
      </w:r>
    </w:p>
    <w:p>
      <w:r>
        <w:t>Selon l’art. 15 CP, quiconque, de manière contraire au droit, est attaqué ou menacé d’une attaque imminente a le droit de repousser l’attaque par des moyens proportionné aux circonstances ; le même droit appartient aux tiers.</w:t>
      </w:r>
    </w:p>
    <w:p>
      <w:r>
        <w:rPr>
          <w:b/>
        </w:rPr>
        <w:t>E. 4.3</w:t>
      </w:r>
    </w:p>
    <w:p>
      <w:r>
        <w:t>En l’occurrence, peu importe que l’appelant ait ramassé le piquet au sol dans le but premier de se défendre. En effet, au vu du nombre de coups portés aux victimes et des lésions constatées, il ne s’agissait plus seulement de repousser une attaque. Par ailleurs, comme l’ont relevé les premiers juges, le prévenu connaissait l’agent de sécurité de la boîte de nuit, pour laquelle il avait lui aussi travaillé et dans laquelle il avait ses habitudes, ayant plusieurs connaissances dans l’établissement. Il aurait dès lors pu s’y réfugier s’il avait souhaité se protéger d’une attaque. Le moyen doit être rejeté.</w:t>
      </w:r>
    </w:p>
    <w:p>
      <w:r>
        <w:rPr>
          <w:b/>
        </w:rPr>
        <w:t>E. 5.1</w:t>
      </w:r>
    </w:p>
    <w:p>
      <w:r>
        <w:t>L’appelant invoque encore le principe ne bis in idem en relation avec l’infraction d’empêchement d’accomplir un acte officiel. Il soutient que la Commission de police l’aurait déjà sanctionné pour cette infraction et qu’il se serait acquitté d’une amende de 200 francs.</w:t>
      </w:r>
    </w:p>
    <w:p>
      <w:r>
        <w:rPr>
          <w:b/>
        </w:rPr>
        <w:t>E. 5.2.1</w:t>
      </w:r>
    </w:p>
    <w:p>
      <w:r>
        <w:t>La Commission de Police de Lausanne s’occupe de la répression des contraventions de la compétence municipale, soit des contraventions aux règlements communaux de police ainsi que des contraventions qui sont placées par la législation cantonale dans la compétence des communes (art. 4 al. 1 LContr ; art. 10 Règlement général de Police de la Commune de Lausanne du 27 novembre 2001). L'autorité municipale est tenue de se dessaisir immédiatement de toute cause ne relevant pas de sa compétence et de la transmettre sans retard à l'autorité compétente (art. 4 al. 2 LContr).</w:t>
      </w:r>
    </w:p>
    <w:p>
      <w:r>
        <w:rPr>
          <w:b/>
        </w:rPr>
        <w:t>E. 5.2.2</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 ne bis in idem », est garanti par l'art. 4 par. 1 du Protocole additionnel n° 7 à la Convention de sauvegarde des droits de l'homme et des libertés fondamentales, conclu à Strasbourg le 22 novembre 1984, et entré en vigueur pour la Suisse le 1er novembre 1988 (RS 0.101.07), ainsi que par l'art. 14 par. 7 du Pacte international relatif aux droits civils et politiques, conclu à New York le 16 décembre 1966 et entré en vigueur pour la Suisse le 18 septembre 1992 (Pacte ONU Il; RS 0.103.2). Le principe « ne bis in idem » découle en outre implicitement de la Constitution fédérale (ATF 137 I 363 consid. 2.1 et les arrêts cités). Enfin, selon l'art. 11 al. 1 CPP, aucune personne condamnée ou acquittée en Suisse par un jugement entré en force ne peut être poursuivie une nouvelle fois pour la même infraction. Cette disposition établit le principe de l’autorité de la chose jugée (ne bis in idem) selon lequel les faits qui ont fait l’objet d’un jugement entré en force ne peuvent plus être examinés dans une procédure pénale dirigée contre la même personne. Autrement dit, ce principe interdit qu’une personne soit poursuivie deux fois pour les mêmes faits (TF 6B_1194/2014 du 3 décembre 2015 consid. 4.2; Moreillon/Parein-Reymond, op. cit., n. 4 ad art. 11 CPP). En matière de répression des infractions relatives à la circulation routière par exemple, le droit suisse prévoit une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Selon la jurisprudence constante du Tribunal fédéral, cette pratique ne viole pas le principe « ne bis in idem » (cf. ATF 137 I 363 consid. 2.3). Dans un arrêt récent, la Cour européenne des droits de l’Homme a considéré que cette jurisprudence ne violait pas l’art. 4 du Protocole n° 7 (arrêt Rivard contre Suisse du 4 octobre 2016 n° 21563/12 ad ATF 137 I 363). La Cour a jugé en particulier que les faits à l’origine des deux procédures dont le requérant avait fait l’objet étaient identiques, mais elle a relevé que la procédure de retrait de permis s’apparentait à une peine complémentaire à la condamnation pénale. La Cour a donc exclu qu’il existait entre les procédures administrative et pénale un lien matériel et temporel suffisamment étroit pour qu’elles soient considérées comme deux aspects d’un système unique et a estimé qu’il n’y avait pas de dualité de procédure. La Cour a dès lors considéré qu’on ne pouvait déduire que le requérant avait été puni ou poursuivi en raison d’une infraction pour laquelle il avait déjà été condamné par un jugement définitif.</w:t>
      </w:r>
    </w:p>
    <w:p>
      <w:r>
        <w:rPr>
          <w:b/>
        </w:rPr>
        <w:t>E. 5.2.3</w:t>
      </w:r>
    </w:p>
    <w:p>
      <w:r>
        <w:t>L’art. 8 LContr prévoit la poursuite et le jugement simultané des contraventions de droit cantonal et des crimes et délits. De façon générale, l'entrave à la police ne peut être réprimée par une norme cantonale que si elle n'a pas atteint l'intensité requise par l'art. 286 CP (cf. TF 6B_1295/2020 du 26 mai 2021 consid. 5.5 in fine ; TF 6B_602/2009 du 29 septembre 2009 consid. 4.2).</w:t>
      </w:r>
    </w:p>
    <w:p>
      <w:r>
        <w:rPr>
          <w:b/>
        </w:rPr>
        <w:t>E. 5.3</w:t>
      </w:r>
    </w:p>
    <w:p>
      <w:r>
        <w:t>En l’espèce, selon rapport de la Police établi ensuite de l’altercation du 1er janvier 2018, les faits mentionnés étaient constitutifs d’une contravention pour infraction aux articles 26 et 29 du Règlement général de police de la commune de Lausanne. Ce dernier article dispose que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 Dans le cas présent, le rapport de la police a été adressé au Ministère public le 26 février 2018 et la Commission de Police n’en a reçu qu’une copie. Ainsi seul le Ministère public a instruit les faits du cas n° 2 conformément à l’art.</w:t>
      </w:r>
    </w:p>
    <w:p>
      <w:r>
        <w:rPr>
          <w:b/>
        </w:rPr>
        <w:t>E. 8</w:t>
      </w:r>
    </w:p>
    <w:p>
      <w:r>
        <w:t>LContr et il n’y a donc pas eu de décision de condamnation de la part de la Commission de Police, contrairement à ce que soutient l’appelant. On ne voit d’ailleurs pas pour quel motif l’appelant, auquel la décision aurait nécessairement été notifiée, ne serait pas en mesure de la produire – cas échéant sous forme de copie – dans la présente procédure. De toute manière, comme on l’a vu en l’espèce, le comportement de F.________ envers les agents de police a largement atteint l’intensité requise par l’art. 286 CP et, par conséquent, en permet l’application à l’exclusion de l’art. 29 du Règlement général de police de la commune de Lausanne, si bien qu’il n’y a pas violation du principe ne bis in idem . Il faut à cet égard rappeler qu’alors que les agents de police tentaient d'immobiliser l’intéressé contre un mur, celui-ci, agressif, s'est débattu au point de les obliger à faire usage de spray au poivre avant de le menotter et de l'acheminer à l'Hôtel de police, étant précisé que l’intervention de quatre fonctionnaires de police pour le maîtriser a été nécessaire. 6. 6.1 L’appelant avait expliqué à plusieurs reprises qu’il s’était en réalité limité à se tourner pour ne pas se retrouver avec ses assaillants derrière lui. L’aspect intentionnel de l’art. 286 CP ferait ainsi défaut et les premiers juges auraient dû faire application de l’art. 17 CP. 6.2 Aux termes de l’art. 17 CP, quiconque commet un acte punissable pour préserver d’un danger imminent et impossible à détourner autrement un bien juridique lui appartenant ou appartenant à un tiers agit de manière licite s’il sauve­garde ainsi des intérêts prépondérants. 6.3 En l’occurrence, la police a expliqué dans son rapport d’investigation, qu’elle avait interpellé F.________ après qu’il avait donné une gifle au plaignant. Le prévenu n’a pas obéi aux injonctions, s’est montré agressif et s’est débattu, si bien que les policiers, au nombre de deux, puis de quatre, ont dû faire usage d’un spray au poivre avant de réussir à le maîtriser avant de le menotter et de l’acheminer à l’Hôtel de police (P. 17). Dans ce rapport, il n’est fait aucune mention d’autres assaillants auxquels il ne fallait pas tourner le dos dès lors que l’injonction consistait à se mettre contre le mur afin d’être menotté. On voit mal qu’à ce moment-là l’appelant craigne des assaillants qui s’en prendraient à lui alors que deux puis quatre agents des forces de l’ordre étaient présents et l’enjoignaient de se retourner pour être menotté. L’appelant ne peut dès lors pas plaider l’état de nécessité pour avoir empêché l’accomplissement d’un acte officiel et doit être condamné du chef de l’art. 286 CP. 7. 7.1 L’appelant rappelle avoir renoncé à porter plainte pour l’intervention qu’il juge excessive de la police. Il conviendrait dès lors de renoncer à toute sanction sous l’angle des art. 52 et 54 qui devaient trouver application. 7.2 7.2.1 Aux termes de l'art. 52 CP,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 TF 6B_1162/2019 du 30 juin 2020 destiné à publication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(Dupuis et al. [éd.], Petit commentaire du Code pénal, 2017, n. 3 ad art. 52 CP et les références citées). 7.2.2 A teneur de l’art. 54 CP, si l’auteur a été directement atteint par les conséquences de son acte au point qu’une peine serait inappropriée, l’autorité compétente renonce à la poursuivre, à le renvoyer devant le juge ou à lui infliger une peine. Sont visées les conséquences directes de l’acte, à savoir celles qui sont survenues lors de l’exécution de l’acte ou sont étroitement liées au résultat de l’infraction (Dupuis et al. [éd.], Petit commentaire, Code pénal, 2 e éd., Bâle 2017, n. 4 ad art. 54 CP). Les désagréments dus à l’ouverture d’une instruction pénale, le paiement des frais de procédure, la réparation du préjudice, ainsi que la dégradation de la situation financière de l’auteur, son divorce ou son licenciement consécutifs à l’acte délictueux, ne constituent que des conséquences indirectes de l’infraction sans pertinence au regard de l’art. 54 CP (TF 6B_442/2014 du 18 juillet 2014 consid. 2.1). 7.3 L’art. 286 CP visant à garantir le bon fonctionnement des autorités publiques, l’appelant ne peut pas plaider que ses actes ont été sans conséquence dès lors que précisément, il a empêché, à tout le moins rendu difficile le travail des policiers qui tentaient de l’interpeller. Sauf à considérer que les conséquences d’une infraction à l’art. 286 CP sont à chaque fois peu importantes au sens de l’art. 52 CP, il n’y a pas de motifs d’exemption. Il n’y en n’a pas non plus sous l’angle de l’art. 54 CP dès lors que l’appelant n’a pas été gravement atteint par les conséquences de son acte.</w:t>
      </w:r>
    </w:p>
    <w:p>
      <w:r>
        <w:rPr>
          <w:b/>
        </w:rPr>
        <w:t>E. 8.1</w:t>
      </w:r>
    </w:p>
    <w:p>
      <w:r>
        <w:t>L’appelant fait encore valoir que s’il devait néanmoins être sanctionné, rien ne s’opposait à l’octroi d’un sursis, dès lors que les faits remontaient à plus de trois ans et qu’une peine ferme ne paraissait pas nécessaire pour le détourner de nouvelles infractions.</w:t>
      </w:r>
    </w:p>
    <w:p>
      <w:r>
        <w:rPr>
          <w:b/>
        </w:rPr>
        <w:t>E. 8.2.1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w:t>
      </w:r>
    </w:p>
    <w:p>
      <w:r>
        <w:rPr>
          <w:b/>
        </w:rPr>
        <w:t>E. 8.2.2</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6B_471/2020, déjà cité, consid. 2.1). Dans l'émission du pronostic, le juge dispose d'un large pouvoir d'appréciation (TF 6B_849/2020 du 5 novembre 2020 consid. 2.1). L’art. 43 al. 1 CP prévoit que le juge peut suspendre partiellement l'exécution d'une peine pécuniaire, d'un travail d'intérêt général ou d'une peine privative de liberté d'un an au moins et de trois ans au plus afin de tenir compte de façon appropriée de la faute de l'auteur. Même si cette disposition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TF 6B_35/2018 du 6 juillet 2018 consid. 1.1).</w:t>
      </w:r>
    </w:p>
    <w:p>
      <w:r>
        <w:rPr>
          <w:b/>
        </w:rPr>
        <w:t>E. 8.3</w:t>
      </w:r>
    </w:p>
    <w:p>
      <w:r>
        <w:t>En l’occurrence, la culpabilité de F.________ est d’une certaine importance. En effet, celui-ci a persisté dans la délinquance après avoir fait l’objet de cinq condamnations entre 2012 et 2017, dont l’une pour des actes de même nature que ceux de la présente affaire. Ces cinq condamnations n’ont eu aucun effet sur le prévenu et l’altercation qui a donné lieu à l’affaire qui nous occupe a démarré pour des motifs futiles et s’est terminée par l’usage d’un objet dangereux, à savoir un piquet en bois. A décharge toutefois, comme l’a relevé le Tribunal correctionnel, les faits sont plutôt anciens et le prévenu paraît s’être bien comporté depuis lors. Aux débats de première instance il s’est en outre reconnu débiteur d’un montant de 4'000 fr. destiné à l’achat d’un appareillage auditif. L'infraction la plus grave est celle de lésions corporelles simples qualifiée, laquelle doit être sanctionnée par une peine pécuniaire de 60 jours, ce qui constitue la peine de base. Par l'effet du concours, il convient d'augmenter cette peine de 30 jours-amende pour les lésions corporelles graves par négligence et de 10 jours-amende pour l’empêchement d’accomplir un acte officiel, ce qui donne un total de 100 jours-amende. La peine pécuniaire infligée par les premiers juges est adéquate et doit ainsi être confirmée. S’agissant du sursis, il n’est pas envisageable au vu des antécédents et des sanctions prononcées. C’est le lieu de rappeler que le prévenu a déjà fait l’objet de 5 condamnations qui n’ont manifestement pas eu l’effet préventif escompté. La peine sera donc ferme.</w:t>
      </w:r>
    </w:p>
    <w:p>
      <w:r>
        <w:rPr>
          <w:b/>
        </w:rPr>
        <w:t>E. 9.1</w:t>
      </w:r>
    </w:p>
    <w:p>
      <w:r>
        <w:t>Sur la base de ses propres conclusions, l’appelant conteste le montant de 10'000 fr. alloué à A.Y.________ à titre de tort moral.</w:t>
      </w:r>
    </w:p>
    <w:p>
      <w:r>
        <w:rPr>
          <w:b/>
        </w:rPr>
        <w:t>E. 9.2</w:t>
      </w:r>
    </w:p>
    <w:p>
      <w:r>
        <w:t>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II 117 c.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 2.2.2).</w:t>
      </w:r>
    </w:p>
    <w:p>
      <w:r>
        <w:rPr>
          <w:b/>
        </w:rPr>
        <w:t>E. 9.3</w:t>
      </w:r>
    </w:p>
    <w:p>
      <w:r>
        <w:t>En l’espèce, malgré les conclusions en suppression de l’indemnité pour tort moral prises par F.________, il n’y a pas de motivation à cet égard dans sa déclaration d’appel, ce dont la Cour déduit que l’allocation de l’indemnité pour tort moral de 10'000 fr. n’est contestée que dans la mesure où les infractions de lésions corporelles le sont. De toute manière, le raisonnement du Tribunal correctionnel, qui a considéré qu’au vu de la nature et de la gravité de l’atteinte subie et de ses conséquences sur la santé du plaignant, dont l’état est longuement décrit dans les constats et rapports médicaux au dossier, il se justifiait sur le principe de lui accorder une indemnité pour compenser le préjudice subi, peut être suivi. Il en va de même s’agissant de la quotité de cette indemnité, la surdité du côté gauche semblant être permanente et définitive et le plaignant ayant subi diverses autres atteintes à sa santé le 25 mai 2017. Au vu de l’ensemble des éléments mentionnés et compte tenu du fait que la souffrance du plaignant persiste et que l’atteinte a eu des effets sur sa vie, notamment professionnelle, le montant de 10'000 fr. alloué par les premiers juges est justifié et adéquat.</w:t>
      </w:r>
    </w:p>
    <w:p>
      <w:r>
        <w:rPr>
          <w:b/>
        </w:rPr>
        <w:t>E. 10</w:t>
      </w:r>
    </w:p>
    <w:p>
      <w:r>
        <w:t>Au vu de ce qui précède, l’appel doit être rejeté et le jugement entrepris confirmé. A.Y.________ , qui a agi avec l’aide d’un mandataire professionnel, a droit à une indemnité pour ses dépenses obligatoires occasionnées par la procédure d’appel. Me Maxime Rocafort a indiqué avoir consacré 3h12 à ce mandat (P. 94), ce qui peut être admis. On ajoutera encore la durée de l’audience, soit 1h30. Au vu de la nature de la cause, on appliquera un tarif horaire de 250 fr., au lieu de celui de 350 fr. requis par cet avocat. Ainsi, l’indemnité totale s’élève à 1’420 fr., TVA (7.7 %) et débours (2%) inclus. Cette indemnité sera mise à la charge de F.________. Le défenseur d’office de F.________ a produit une liste d’opérations dont il n’y a pas lieu de s’écarter (P. 93), sauf en ce qui concerne les débours, qui seront calculés au taux de 2% et non de 5 % (art. 3bis RAJ [règlement sur l’assistance judiciaire en matière civile du 7 décembre 2010 ; BLV 211.02.3], par renvoi de l’art. 26b TFIP [tarif des frais de procédure et indemnités en matière pénale du 28 septembre 2010 ; BLV 312.03.1]), vacation et TVA en sus. L’indemnité due à Me Jean-Nicolas Roud pour la procédure d’appel est par conséquent fixée à 2'423 fr., correspondant à des honoraires par 2'088 fr. (11h36 au tarif horaire de 180 fr.), à 41 fr. 75 de débours, à une vacation par 120 fr. et à la TVA au taux de 7,7%, par 173 fr. 25. Vu l’issue de la cause, les frais de la procédure d'appel, par 5'323 fr., constitués en l’espèce de l’émolument d’arrêt, par 2’900 fr., (art. 21 al. 1 et 2 TFIP) ainsi que de l’indemnité allouée au défenseur d'office de F.________, seront mis à la charge de ce dernier, qui succombe (art. 428 al. 1 CPP). F.________ ne sera tenu de rembourser à l'Etat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